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2F33" w14:textId="16A26400" w:rsidR="00660262" w:rsidRPr="00944CCC" w:rsidRDefault="000C4C26" w:rsidP="0050724B">
      <w:pPr>
        <w:pStyle w:val="Heading1"/>
        <w:spacing w:after="3600"/>
        <w:rPr>
          <w:rFonts w:ascii="Open Sans" w:hAnsi="Open Sans" w:cs="Open Sans"/>
          <w:color w:val="032E53"/>
        </w:rPr>
      </w:pPr>
      <w:bookmarkStart w:id="0" w:name="_Toc171600456"/>
      <w:r w:rsidRPr="00944CCC">
        <w:rPr>
          <w:rFonts w:ascii="Open Sans" w:hAnsi="Open Sans" w:cs="Open Sans"/>
          <w:noProof/>
          <w:color w:val="032E53"/>
        </w:rPr>
        <w:drawing>
          <wp:anchor distT="0" distB="0" distL="114300" distR="114300" simplePos="0" relativeHeight="251659264" behindDoc="0" locked="0" layoutInCell="1" allowOverlap="1" wp14:anchorId="5A8C0920" wp14:editId="0D5EB7A2">
            <wp:simplePos x="0" y="0"/>
            <wp:positionH relativeFrom="margin">
              <wp:posOffset>1968500</wp:posOffset>
            </wp:positionH>
            <wp:positionV relativeFrom="page">
              <wp:posOffset>2641600</wp:posOffset>
            </wp:positionV>
            <wp:extent cx="2006600" cy="2006600"/>
            <wp:effectExtent l="0" t="0" r="0" b="0"/>
            <wp:wrapTopAndBottom/>
            <wp:docPr id="1" name="Picture 1" descr="Logo for the US Department of Education depicting a stylized sunrise behind a sketch of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6600" cy="2006600"/>
                    </a:xfrm>
                    <a:prstGeom prst="rect">
                      <a:avLst/>
                    </a:prstGeom>
                  </pic:spPr>
                </pic:pic>
              </a:graphicData>
            </a:graphic>
            <wp14:sizeRelH relativeFrom="margin">
              <wp14:pctWidth>0</wp14:pctWidth>
            </wp14:sizeRelH>
            <wp14:sizeRelV relativeFrom="margin">
              <wp14:pctHeight>0</wp14:pctHeight>
            </wp14:sizeRelV>
          </wp:anchor>
        </w:drawing>
      </w:r>
      <w:r w:rsidR="0056051A" w:rsidRPr="00944CCC">
        <w:rPr>
          <w:rFonts w:ascii="Open Sans" w:hAnsi="Open Sans" w:cs="Open Sans"/>
          <w:color w:val="032E53"/>
        </w:rPr>
        <w:t>Video T</w:t>
      </w:r>
      <w:r w:rsidR="00660262" w:rsidRPr="00944CCC">
        <w:rPr>
          <w:rFonts w:ascii="Open Sans" w:hAnsi="Open Sans" w:cs="Open Sans"/>
          <w:color w:val="032E53"/>
        </w:rPr>
        <w:t>ranscripts to Accompany the Office of Career, Technical, and Adult Education (OCTAE) New State Directors</w:t>
      </w:r>
      <w:r w:rsidRPr="00944CCC">
        <w:rPr>
          <w:rFonts w:ascii="Open Sans" w:hAnsi="Open Sans" w:cs="Open Sans"/>
          <w:color w:val="032E53"/>
        </w:rPr>
        <w:t>’</w:t>
      </w:r>
      <w:r w:rsidR="00660262" w:rsidRPr="00944CCC">
        <w:rPr>
          <w:rFonts w:ascii="Open Sans" w:hAnsi="Open Sans" w:cs="Open Sans"/>
          <w:color w:val="032E53"/>
        </w:rPr>
        <w:t xml:space="preserve"> Training Video Series</w:t>
      </w:r>
      <w:bookmarkEnd w:id="0"/>
    </w:p>
    <w:p w14:paraId="7BCAA8E4" w14:textId="4C628A83" w:rsidR="00660262" w:rsidRPr="00944CCC" w:rsidRDefault="00660262" w:rsidP="00742E99">
      <w:pPr>
        <w:spacing w:before="120" w:after="240"/>
        <w:ind w:left="720" w:hanging="360"/>
        <w:jc w:val="center"/>
        <w:rPr>
          <w:rFonts w:ascii="Open Sans" w:eastAsia="Calibri" w:hAnsi="Open Sans" w:cs="Open Sans"/>
          <w:color w:val="032E53"/>
          <w:sz w:val="30"/>
          <w:szCs w:val="30"/>
        </w:rPr>
        <w:sectPr w:rsidR="00660262" w:rsidRPr="00944CCC">
          <w:pgSz w:w="12240" w:h="15840"/>
          <w:pgMar w:top="1440" w:right="1440" w:bottom="1440" w:left="1440" w:header="720" w:footer="720" w:gutter="0"/>
          <w:cols w:space="720"/>
          <w:docGrid w:linePitch="360"/>
        </w:sectPr>
      </w:pPr>
      <w:r w:rsidRPr="00944CCC">
        <w:rPr>
          <w:rFonts w:ascii="Open Sans" w:eastAsia="Calibri" w:hAnsi="Open Sans" w:cs="Open Sans"/>
          <w:color w:val="032E53"/>
          <w:sz w:val="30"/>
          <w:szCs w:val="30"/>
        </w:rPr>
        <w:t xml:space="preserve">(Reviewed: </w:t>
      </w:r>
      <w:r w:rsidR="00D47BA9" w:rsidRPr="00944CCC">
        <w:rPr>
          <w:rFonts w:ascii="Open Sans" w:eastAsia="Calibri" w:hAnsi="Open Sans" w:cs="Open Sans"/>
          <w:color w:val="032E53"/>
          <w:sz w:val="30"/>
          <w:szCs w:val="30"/>
        </w:rPr>
        <w:t xml:space="preserve"> </w:t>
      </w:r>
      <w:r w:rsidR="00742E99" w:rsidRPr="00944CCC">
        <w:rPr>
          <w:rFonts w:ascii="Open Sans" w:eastAsia="Calibri" w:hAnsi="Open Sans" w:cs="Open Sans"/>
          <w:color w:val="032E53"/>
          <w:sz w:val="30"/>
          <w:szCs w:val="30"/>
        </w:rPr>
        <w:t>July 11</w:t>
      </w:r>
      <w:r w:rsidRPr="00944CCC">
        <w:rPr>
          <w:rFonts w:ascii="Open Sans" w:eastAsia="Calibri" w:hAnsi="Open Sans" w:cs="Open Sans"/>
          <w:color w:val="032E53"/>
          <w:sz w:val="30"/>
          <w:szCs w:val="30"/>
        </w:rPr>
        <w:t>, 2024)</w:t>
      </w:r>
    </w:p>
    <w:bookmarkStart w:id="1" w:name="_Toc171600457" w:displacedByCustomXml="next"/>
    <w:bookmarkStart w:id="2" w:name="_Toc163979978" w:displacedByCustomXml="next"/>
    <w:sdt>
      <w:sdtPr>
        <w:rPr>
          <w:rFonts w:ascii="Open Sans" w:hAnsi="Open Sans" w:cs="Open Sans"/>
          <w:b w:val="0"/>
          <w:bCs w:val="0"/>
          <w:sz w:val="24"/>
          <w:szCs w:val="24"/>
        </w:rPr>
        <w:id w:val="-875469208"/>
        <w:docPartObj>
          <w:docPartGallery w:val="Table of Contents"/>
          <w:docPartUnique/>
        </w:docPartObj>
      </w:sdtPr>
      <w:sdtEndPr>
        <w:rPr>
          <w:noProof/>
        </w:rPr>
      </w:sdtEndPr>
      <w:sdtContent>
        <w:p w14:paraId="6D966831" w14:textId="692FB2BD" w:rsidR="00093147" w:rsidRPr="00944CCC" w:rsidRDefault="00093147" w:rsidP="00411D84">
          <w:pPr>
            <w:pStyle w:val="TOCHeading"/>
            <w:spacing w:after="200" w:line="360" w:lineRule="auto"/>
            <w:ind w:left="270"/>
            <w:jc w:val="left"/>
            <w:rPr>
              <w:rFonts w:ascii="Open Sans" w:hAnsi="Open Sans" w:cs="Open Sans"/>
              <w:color w:val="032E53"/>
            </w:rPr>
          </w:pPr>
          <w:r w:rsidRPr="00944CCC">
            <w:rPr>
              <w:rFonts w:ascii="Open Sans" w:hAnsi="Open Sans" w:cs="Open Sans"/>
              <w:color w:val="032E53"/>
            </w:rPr>
            <w:t>Table of Contents</w:t>
          </w:r>
          <w:bookmarkEnd w:id="1"/>
        </w:p>
        <w:p w14:paraId="26E5C2B8" w14:textId="4148EC3B" w:rsidR="00093147" w:rsidRPr="00944CCC" w:rsidRDefault="00093147" w:rsidP="00411D84">
          <w:pPr>
            <w:pStyle w:val="TOC1"/>
            <w:tabs>
              <w:tab w:val="right" w:pos="9350"/>
            </w:tabs>
            <w:spacing w:line="360" w:lineRule="auto"/>
            <w:contextualSpacing/>
            <w:rPr>
              <w:rStyle w:val="Hyperlink"/>
              <w:rFonts w:ascii="Open Sans" w:hAnsi="Open Sans" w:cs="Open Sans"/>
            </w:rPr>
          </w:pPr>
          <w:r w:rsidRPr="00944CCC">
            <w:rPr>
              <w:rFonts w:ascii="Open Sans" w:hAnsi="Open Sans" w:cs="Open Sans"/>
            </w:rPr>
            <w:fldChar w:fldCharType="begin"/>
          </w:r>
          <w:r w:rsidRPr="00944CCC">
            <w:rPr>
              <w:rFonts w:ascii="Open Sans" w:hAnsi="Open Sans" w:cs="Open Sans"/>
            </w:rPr>
            <w:instrText xml:space="preserve"> TOC \o "1-3" \h \z \u </w:instrText>
          </w:r>
          <w:r w:rsidRPr="00944CCC">
            <w:rPr>
              <w:rFonts w:ascii="Open Sans" w:hAnsi="Open Sans" w:cs="Open Sans"/>
            </w:rPr>
            <w:fldChar w:fldCharType="separate"/>
          </w:r>
          <w:hyperlink w:anchor="_Toc171600456" w:history="1">
            <w:r w:rsidRPr="00944CCC">
              <w:rPr>
                <w:rStyle w:val="Hyperlink"/>
                <w:rFonts w:ascii="Open Sans" w:hAnsi="Open Sans" w:cs="Open Sans"/>
                <w:noProof/>
              </w:rPr>
              <w:t>Video Transcripts to Accompany the Office of Career, Technical, and Adult Education (OCTAE) New State Directors’ Training Video Series</w:t>
            </w:r>
            <w:r w:rsidRPr="00944CCC">
              <w:rPr>
                <w:rStyle w:val="Hyperlink"/>
                <w:rFonts w:ascii="Open Sans" w:hAnsi="Open Sans" w:cs="Open Sans"/>
                <w:webHidden/>
              </w:rPr>
              <w:tab/>
            </w:r>
            <w:r w:rsidRPr="00944CCC">
              <w:rPr>
                <w:rStyle w:val="Hyperlink"/>
                <w:rFonts w:ascii="Open Sans" w:hAnsi="Open Sans" w:cs="Open Sans"/>
                <w:webHidden/>
              </w:rPr>
              <w:fldChar w:fldCharType="begin"/>
            </w:r>
            <w:r w:rsidRPr="00944CCC">
              <w:rPr>
                <w:rStyle w:val="Hyperlink"/>
                <w:rFonts w:ascii="Open Sans" w:hAnsi="Open Sans" w:cs="Open Sans"/>
                <w:webHidden/>
              </w:rPr>
              <w:instrText xml:space="preserve"> PAGEREF _Toc171600456 \h </w:instrText>
            </w:r>
            <w:r w:rsidRPr="00944CCC">
              <w:rPr>
                <w:rStyle w:val="Hyperlink"/>
                <w:rFonts w:ascii="Open Sans" w:hAnsi="Open Sans" w:cs="Open Sans"/>
                <w:webHidden/>
              </w:rPr>
            </w:r>
            <w:r w:rsidRPr="00944CCC">
              <w:rPr>
                <w:rStyle w:val="Hyperlink"/>
                <w:rFonts w:ascii="Open Sans" w:hAnsi="Open Sans" w:cs="Open Sans"/>
                <w:webHidden/>
              </w:rPr>
              <w:fldChar w:fldCharType="separate"/>
            </w:r>
            <w:r w:rsidRPr="00944CCC">
              <w:rPr>
                <w:rStyle w:val="Hyperlink"/>
                <w:rFonts w:ascii="Open Sans" w:hAnsi="Open Sans" w:cs="Open Sans"/>
                <w:webHidden/>
              </w:rPr>
              <w:t>1</w:t>
            </w:r>
            <w:r w:rsidRPr="00944CCC">
              <w:rPr>
                <w:rStyle w:val="Hyperlink"/>
                <w:rFonts w:ascii="Open Sans" w:hAnsi="Open Sans" w:cs="Open Sans"/>
                <w:webHidden/>
              </w:rPr>
              <w:fldChar w:fldCharType="end"/>
            </w:r>
          </w:hyperlink>
        </w:p>
        <w:p w14:paraId="576BE482" w14:textId="1351DD2B" w:rsidR="00093147" w:rsidRPr="00944CCC" w:rsidRDefault="002B731F" w:rsidP="00411D84">
          <w:pPr>
            <w:pStyle w:val="TOC1"/>
            <w:tabs>
              <w:tab w:val="right" w:pos="9350"/>
            </w:tabs>
            <w:spacing w:line="360" w:lineRule="auto"/>
            <w:rPr>
              <w:rFonts w:ascii="Open Sans" w:eastAsiaTheme="minorEastAsia" w:hAnsi="Open Sans" w:cs="Open Sans"/>
              <w:b w:val="0"/>
              <w:bCs w:val="0"/>
              <w:caps w:val="0"/>
              <w:noProof/>
              <w:color w:val="auto"/>
              <w:kern w:val="2"/>
              <w:sz w:val="24"/>
              <w:szCs w:val="24"/>
              <w14:ligatures w14:val="standardContextual"/>
            </w:rPr>
          </w:pPr>
          <w:hyperlink w:anchor="_Toc171600457" w:history="1">
            <w:r w:rsidR="00093147" w:rsidRPr="00944CCC">
              <w:rPr>
                <w:rStyle w:val="Hyperlink"/>
                <w:rFonts w:ascii="Open Sans" w:hAnsi="Open Sans" w:cs="Open Sans"/>
                <w:noProof/>
              </w:rPr>
              <w:t>Table of Contents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_Toc171600457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2</w:t>
            </w:r>
            <w:r w:rsidR="00093147" w:rsidRPr="00944CCC">
              <w:rPr>
                <w:rStyle w:val="Hyperlink"/>
                <w:rFonts w:ascii="Open Sans" w:hAnsi="Open Sans" w:cs="Open Sans"/>
                <w:webHidden/>
              </w:rPr>
              <w:fldChar w:fldCharType="end"/>
            </w:r>
          </w:hyperlink>
        </w:p>
        <w:p w14:paraId="612A3CFF" w14:textId="4F6EDD65"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458" w:history="1">
            <w:r w:rsidR="00093147" w:rsidRPr="00944CCC">
              <w:rPr>
                <w:rStyle w:val="Hyperlink"/>
                <w:rFonts w:ascii="Open Sans" w:hAnsi="Open Sans" w:cs="Open Sans"/>
                <w:noProof/>
              </w:rPr>
              <w:t>History of the Workforce Innovation and Opportunity Act</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_Toc171600458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3</w:t>
            </w:r>
            <w:r w:rsidR="00093147" w:rsidRPr="00944CCC">
              <w:rPr>
                <w:rStyle w:val="Hyperlink"/>
                <w:rFonts w:ascii="Open Sans" w:hAnsi="Open Sans" w:cs="Open Sans"/>
                <w:webHidden/>
              </w:rPr>
              <w:fldChar w:fldCharType="end"/>
            </w:r>
          </w:hyperlink>
        </w:p>
        <w:p w14:paraId="2C72E073" w14:textId="0D46810F"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59" w:history="1">
            <w:r w:rsidR="00093147" w:rsidRPr="00944CCC">
              <w:rPr>
                <w:rStyle w:val="Hyperlink"/>
                <w:rFonts w:ascii="Open Sans" w:hAnsi="Open Sans" w:cs="Open Sans"/>
                <w:noProof/>
              </w:rPr>
              <w:t>The History of WIOA</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_Toc171600459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3</w:t>
            </w:r>
            <w:r w:rsidR="00093147" w:rsidRPr="00944CCC">
              <w:rPr>
                <w:rStyle w:val="Hyperlink"/>
                <w:rFonts w:ascii="Open Sans" w:hAnsi="Open Sans" w:cs="Open Sans"/>
                <w:webHidden/>
              </w:rPr>
              <w:fldChar w:fldCharType="end"/>
            </w:r>
          </w:hyperlink>
        </w:p>
        <w:p w14:paraId="4E195F23" w14:textId="6AA0FFF1"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460" w:history="1">
            <w:r w:rsidR="00093147" w:rsidRPr="00944CCC">
              <w:rPr>
                <w:rStyle w:val="Hyperlink"/>
                <w:rFonts w:ascii="Open Sans" w:hAnsi="Open Sans" w:cs="Open Sans"/>
                <w:noProof/>
              </w:rPr>
              <w:t>WIOA’s Statutory Structure</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_Toc171600460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5</w:t>
            </w:r>
            <w:r w:rsidR="00093147" w:rsidRPr="00944CCC">
              <w:rPr>
                <w:rStyle w:val="Hyperlink"/>
                <w:rFonts w:ascii="Open Sans" w:hAnsi="Open Sans" w:cs="Open Sans"/>
                <w:webHidden/>
              </w:rPr>
              <w:fldChar w:fldCharType="end"/>
            </w:r>
          </w:hyperlink>
        </w:p>
        <w:p w14:paraId="3E63A6DE" w14:textId="6FEA9947"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61" w:history="1">
            <w:r w:rsidR="00093147" w:rsidRPr="00944CCC">
              <w:rPr>
                <w:rStyle w:val="Hyperlink"/>
                <w:rFonts w:ascii="Open Sans" w:hAnsi="Open Sans" w:cs="Open Sans"/>
                <w:noProof/>
              </w:rPr>
              <w:t>The Legal Structure of WIOA</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_Toc171600461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5</w:t>
            </w:r>
            <w:r w:rsidR="00093147" w:rsidRPr="00944CCC">
              <w:rPr>
                <w:rStyle w:val="Hyperlink"/>
                <w:rFonts w:ascii="Open Sans" w:hAnsi="Open Sans" w:cs="Open Sans"/>
                <w:webHidden/>
              </w:rPr>
              <w:fldChar w:fldCharType="end"/>
            </w:r>
          </w:hyperlink>
        </w:p>
        <w:p w14:paraId="100574BC" w14:textId="2D02526B"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62"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_Toc171600462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7</w:t>
            </w:r>
            <w:r w:rsidR="00093147" w:rsidRPr="00944CCC">
              <w:rPr>
                <w:rStyle w:val="Hyperlink"/>
                <w:rFonts w:ascii="Open Sans" w:hAnsi="Open Sans" w:cs="Open Sans"/>
                <w:webHidden/>
              </w:rPr>
              <w:fldChar w:fldCharType="end"/>
            </w:r>
          </w:hyperlink>
        </w:p>
        <w:p w14:paraId="3C5BFADB" w14:textId="3306345C"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463" w:history="1">
            <w:r w:rsidR="00093147" w:rsidRPr="00944CCC">
              <w:rPr>
                <w:rStyle w:val="Hyperlink"/>
                <w:rFonts w:ascii="Open Sans" w:hAnsi="Open Sans" w:cs="Open Sans"/>
                <w:noProof/>
              </w:rPr>
              <w:t>Definitions, AEFLA Program Regulations, Legal Resources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_Toc171600463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8</w:t>
            </w:r>
            <w:r w:rsidR="00093147" w:rsidRPr="00944CCC">
              <w:rPr>
                <w:rStyle w:val="Hyperlink"/>
                <w:rFonts w:ascii="Open Sans" w:hAnsi="Open Sans" w:cs="Open Sans"/>
                <w:webHidden/>
              </w:rPr>
              <w:fldChar w:fldCharType="end"/>
            </w:r>
          </w:hyperlink>
        </w:p>
        <w:p w14:paraId="2FB383FE" w14:textId="37837D4B"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64" w:history="1">
            <w:r w:rsidR="00093147" w:rsidRPr="00944CCC">
              <w:rPr>
                <w:rStyle w:val="Hyperlink"/>
                <w:rFonts w:ascii="Open Sans" w:hAnsi="Open Sans" w:cs="Open Sans"/>
                <w:noProof/>
              </w:rPr>
              <w:t>Key Terms in the AEFLA program</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_Toc171600464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8</w:t>
            </w:r>
            <w:r w:rsidR="00093147" w:rsidRPr="00944CCC">
              <w:rPr>
                <w:rStyle w:val="Hyperlink"/>
                <w:rFonts w:ascii="Open Sans" w:hAnsi="Open Sans" w:cs="Open Sans"/>
                <w:webHidden/>
              </w:rPr>
              <w:fldChar w:fldCharType="end"/>
            </w:r>
          </w:hyperlink>
        </w:p>
        <w:p w14:paraId="14DB7859" w14:textId="314C9C29"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65" w:history="1">
            <w:r w:rsidR="00093147" w:rsidRPr="00944CCC">
              <w:rPr>
                <w:rStyle w:val="Hyperlink"/>
                <w:rFonts w:ascii="Open Sans" w:hAnsi="Open Sans" w:cs="Open Sans"/>
                <w:noProof/>
              </w:rPr>
              <w:t>EDGAR and Guidance</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_Toc171600465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11</w:t>
            </w:r>
            <w:r w:rsidR="00093147" w:rsidRPr="00944CCC">
              <w:rPr>
                <w:rStyle w:val="Hyperlink"/>
                <w:rFonts w:ascii="Open Sans" w:hAnsi="Open Sans" w:cs="Open Sans"/>
                <w:webHidden/>
              </w:rPr>
              <w:fldChar w:fldCharType="end"/>
            </w:r>
          </w:hyperlink>
        </w:p>
        <w:p w14:paraId="42A4B657" w14:textId="6B8D254C"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466" w:history="1">
            <w:r w:rsidR="00093147" w:rsidRPr="00944CCC">
              <w:rPr>
                <w:rStyle w:val="Hyperlink"/>
                <w:rFonts w:ascii="Open Sans" w:hAnsi="Open Sans" w:cs="Open Sans"/>
                <w:noProof/>
              </w:rPr>
              <w:t>State Plans Under WIOA: Basic State Plans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_Toc171600466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13</w:t>
            </w:r>
            <w:r w:rsidR="00093147" w:rsidRPr="00944CCC">
              <w:rPr>
                <w:rStyle w:val="Hyperlink"/>
                <w:rFonts w:ascii="Open Sans" w:hAnsi="Open Sans" w:cs="Open Sans"/>
                <w:webHidden/>
              </w:rPr>
              <w:fldChar w:fldCharType="end"/>
            </w:r>
          </w:hyperlink>
        </w:p>
        <w:p w14:paraId="43F3F070" w14:textId="0BDE52F5"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67" w:history="1">
            <w:r w:rsidR="00093147" w:rsidRPr="00944CCC">
              <w:rPr>
                <w:rStyle w:val="Hyperlink"/>
                <w:rFonts w:ascii="Open Sans" w:hAnsi="Open Sans" w:cs="Open Sans"/>
                <w:noProof/>
              </w:rPr>
              <w:t>Introduction to State plans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_Toc171600467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13</w:t>
            </w:r>
            <w:r w:rsidR="00093147" w:rsidRPr="00944CCC">
              <w:rPr>
                <w:rStyle w:val="Hyperlink"/>
                <w:rFonts w:ascii="Open Sans" w:hAnsi="Open Sans" w:cs="Open Sans"/>
                <w:webHidden/>
              </w:rPr>
              <w:fldChar w:fldCharType="end"/>
            </w:r>
          </w:hyperlink>
        </w:p>
        <w:p w14:paraId="005BC172" w14:textId="5FD2461A"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68" w:history="1">
            <w:r w:rsidR="00093147" w:rsidRPr="00944CCC">
              <w:rPr>
                <w:rStyle w:val="Hyperlink"/>
                <w:rFonts w:ascii="Open Sans" w:hAnsi="Open Sans" w:cs="Open Sans"/>
                <w:noProof/>
              </w:rPr>
              <w:t>Submission and Review of State plans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_Toc171600468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15</w:t>
            </w:r>
            <w:r w:rsidR="00093147" w:rsidRPr="00944CCC">
              <w:rPr>
                <w:rStyle w:val="Hyperlink"/>
                <w:rFonts w:ascii="Open Sans" w:hAnsi="Open Sans" w:cs="Open Sans"/>
                <w:webHidden/>
              </w:rPr>
              <w:fldChar w:fldCharType="end"/>
            </w:r>
          </w:hyperlink>
        </w:p>
        <w:p w14:paraId="5B18F433" w14:textId="6F760030"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69" w:history="1">
            <w:r w:rsidR="00093147" w:rsidRPr="00944CCC">
              <w:rPr>
                <w:rStyle w:val="Hyperlink"/>
                <w:rFonts w:ascii="Open Sans" w:hAnsi="Open Sans" w:cs="Open Sans"/>
                <w:noProof/>
              </w:rPr>
              <w:t>Writing a State plan</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_Toc171600469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16</w:t>
            </w:r>
            <w:r w:rsidR="00093147" w:rsidRPr="00944CCC">
              <w:rPr>
                <w:rStyle w:val="Hyperlink"/>
                <w:rFonts w:ascii="Open Sans" w:hAnsi="Open Sans" w:cs="Open Sans"/>
                <w:webHidden/>
              </w:rPr>
              <w:fldChar w:fldCharType="end"/>
            </w:r>
          </w:hyperlink>
        </w:p>
        <w:p w14:paraId="675D34CC" w14:textId="575D7D96"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70" w:history="1">
            <w:r w:rsidR="00093147" w:rsidRPr="00944CCC">
              <w:rPr>
                <w:rStyle w:val="Hyperlink"/>
                <w:rFonts w:ascii="Open Sans" w:hAnsi="Open Sans" w:cs="Open Sans"/>
                <w:noProof/>
              </w:rPr>
              <w:t>The Common Elements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_Toc171600470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16</w:t>
            </w:r>
            <w:r w:rsidR="00093147" w:rsidRPr="00944CCC">
              <w:rPr>
                <w:rStyle w:val="Hyperlink"/>
                <w:rFonts w:ascii="Open Sans" w:hAnsi="Open Sans" w:cs="Open Sans"/>
                <w:webHidden/>
              </w:rPr>
              <w:fldChar w:fldCharType="end"/>
            </w:r>
          </w:hyperlink>
        </w:p>
        <w:p w14:paraId="7DBF7064" w14:textId="1195D756"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71" w:history="1">
            <w:r w:rsidR="00093147" w:rsidRPr="00944CCC">
              <w:rPr>
                <w:rStyle w:val="Hyperlink"/>
                <w:rFonts w:ascii="Open Sans" w:hAnsi="Open Sans" w:cs="Open Sans"/>
                <w:noProof/>
              </w:rPr>
              <w:t>Program-specific Narratives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_Toc171600471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17</w:t>
            </w:r>
            <w:r w:rsidR="00093147" w:rsidRPr="00944CCC">
              <w:rPr>
                <w:rStyle w:val="Hyperlink"/>
                <w:rFonts w:ascii="Open Sans" w:hAnsi="Open Sans" w:cs="Open Sans"/>
                <w:webHidden/>
              </w:rPr>
              <w:fldChar w:fldCharType="end"/>
            </w:r>
          </w:hyperlink>
        </w:p>
        <w:p w14:paraId="344796F4" w14:textId="5A0339E6"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72" w:history="1">
            <w:r w:rsidR="00093147" w:rsidRPr="00944CCC">
              <w:rPr>
                <w:rStyle w:val="Hyperlink"/>
                <w:rFonts w:ascii="Open Sans" w:hAnsi="Open Sans" w:cs="Open Sans"/>
                <w:noProof/>
              </w:rPr>
              <w:t>Tips for Writing Narratives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_Toc171600472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18</w:t>
            </w:r>
            <w:r w:rsidR="00093147" w:rsidRPr="00944CCC">
              <w:rPr>
                <w:rStyle w:val="Hyperlink"/>
                <w:rFonts w:ascii="Open Sans" w:hAnsi="Open Sans" w:cs="Open Sans"/>
                <w:webHidden/>
              </w:rPr>
              <w:fldChar w:fldCharType="end"/>
            </w:r>
          </w:hyperlink>
        </w:p>
        <w:p w14:paraId="3976D466" w14:textId="26F1EFE1"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73"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_Toc171600473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18</w:t>
            </w:r>
            <w:r w:rsidR="00093147" w:rsidRPr="00944CCC">
              <w:rPr>
                <w:rStyle w:val="Hyperlink"/>
                <w:rFonts w:ascii="Open Sans" w:hAnsi="Open Sans" w:cs="Open Sans"/>
                <w:webHidden/>
              </w:rPr>
              <w:fldChar w:fldCharType="end"/>
            </w:r>
          </w:hyperlink>
        </w:p>
        <w:p w14:paraId="1EBF2B04" w14:textId="43668B76"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474" w:history="1">
            <w:r w:rsidR="00093147" w:rsidRPr="00944CCC">
              <w:rPr>
                <w:rStyle w:val="Hyperlink"/>
                <w:rFonts w:ascii="Open Sans" w:hAnsi="Open Sans" w:cs="Open Sans"/>
                <w:noProof/>
              </w:rPr>
              <w:t>The Modification Process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_Toc171600474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20</w:t>
            </w:r>
            <w:r w:rsidR="00093147" w:rsidRPr="00944CCC">
              <w:rPr>
                <w:rStyle w:val="Hyperlink"/>
                <w:rFonts w:ascii="Open Sans" w:hAnsi="Open Sans" w:cs="Open Sans"/>
                <w:webHidden/>
              </w:rPr>
              <w:fldChar w:fldCharType="end"/>
            </w:r>
          </w:hyperlink>
        </w:p>
        <w:p w14:paraId="26E209C1" w14:textId="3AB579E2"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75" w:history="1">
            <w:r w:rsidR="00093147" w:rsidRPr="00944CCC">
              <w:rPr>
                <w:rStyle w:val="Hyperlink"/>
                <w:rFonts w:ascii="Open Sans" w:hAnsi="Open Sans" w:cs="Open Sans"/>
                <w:noProof/>
              </w:rPr>
              <w:t>State plan Modifications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_Toc171600475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20</w:t>
            </w:r>
            <w:r w:rsidR="00093147" w:rsidRPr="00944CCC">
              <w:rPr>
                <w:rStyle w:val="Hyperlink"/>
                <w:rFonts w:ascii="Open Sans" w:hAnsi="Open Sans" w:cs="Open Sans"/>
                <w:webHidden/>
              </w:rPr>
              <w:fldChar w:fldCharType="end"/>
            </w:r>
          </w:hyperlink>
        </w:p>
        <w:p w14:paraId="489CE7A9" w14:textId="4FBAB896"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476" w:history="1">
            <w:r w:rsidR="00093147" w:rsidRPr="00944CCC">
              <w:rPr>
                <w:rStyle w:val="Hyperlink"/>
                <w:rFonts w:ascii="Open Sans" w:hAnsi="Open Sans" w:cs="Open Sans"/>
                <w:noProof/>
              </w:rPr>
              <w:t>Accessing the State Plan Portal</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_Toc171600476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22</w:t>
            </w:r>
            <w:r w:rsidR="00093147" w:rsidRPr="00944CCC">
              <w:rPr>
                <w:rStyle w:val="Hyperlink"/>
                <w:rFonts w:ascii="Open Sans" w:hAnsi="Open Sans" w:cs="Open Sans"/>
                <w:webHidden/>
              </w:rPr>
              <w:fldChar w:fldCharType="end"/>
            </w:r>
          </w:hyperlink>
        </w:p>
        <w:p w14:paraId="4670213A" w14:textId="4CD982FD"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77" w:history="1">
            <w:r w:rsidR="00093147" w:rsidRPr="00944CCC">
              <w:rPr>
                <w:rStyle w:val="Hyperlink"/>
                <w:rFonts w:ascii="Open Sans" w:hAnsi="Open Sans" w:cs="Open Sans"/>
                <w:noProof/>
              </w:rPr>
              <w:t>State Plan Portal Quick Overview</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_Toc171600477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22</w:t>
            </w:r>
            <w:r w:rsidR="00093147" w:rsidRPr="00944CCC">
              <w:rPr>
                <w:rStyle w:val="Hyperlink"/>
                <w:rFonts w:ascii="Open Sans" w:hAnsi="Open Sans" w:cs="Open Sans"/>
                <w:webHidden/>
              </w:rPr>
              <w:fldChar w:fldCharType="end"/>
            </w:r>
          </w:hyperlink>
        </w:p>
        <w:p w14:paraId="56B777F3" w14:textId="3DEED55B"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478" w:history="1">
            <w:r w:rsidR="00093147" w:rsidRPr="00944CCC">
              <w:rPr>
                <w:rStyle w:val="Hyperlink"/>
                <w:rFonts w:ascii="Open Sans" w:hAnsi="Open Sans" w:cs="Open Sans"/>
                <w:noProof/>
              </w:rPr>
              <w:t>Purpose and Process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_Toc171600478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24</w:t>
            </w:r>
            <w:r w:rsidR="00093147" w:rsidRPr="00944CCC">
              <w:rPr>
                <w:rStyle w:val="Hyperlink"/>
                <w:rFonts w:ascii="Open Sans" w:hAnsi="Open Sans" w:cs="Open Sans"/>
                <w:webHidden/>
              </w:rPr>
              <w:fldChar w:fldCharType="end"/>
            </w:r>
          </w:hyperlink>
        </w:p>
        <w:p w14:paraId="578182DD" w14:textId="34FF08E3"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79" w:history="1">
            <w:r w:rsidR="00093147" w:rsidRPr="00944CCC">
              <w:rPr>
                <w:rStyle w:val="Hyperlink"/>
                <w:rFonts w:ascii="Open Sans" w:hAnsi="Open Sans" w:cs="Open Sans"/>
                <w:noProof/>
              </w:rPr>
              <w:t>The Process for Negotiations and Assessment</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_Toc171600479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24</w:t>
            </w:r>
            <w:r w:rsidR="00093147" w:rsidRPr="00944CCC">
              <w:rPr>
                <w:rStyle w:val="Hyperlink"/>
                <w:rFonts w:ascii="Open Sans" w:hAnsi="Open Sans" w:cs="Open Sans"/>
                <w:webHidden/>
              </w:rPr>
              <w:fldChar w:fldCharType="end"/>
            </w:r>
          </w:hyperlink>
        </w:p>
        <w:p w14:paraId="1E862D1B" w14:textId="6D755742"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80" w:history="1">
            <w:r w:rsidR="00093147" w:rsidRPr="00944CCC">
              <w:rPr>
                <w:rStyle w:val="Hyperlink"/>
                <w:rFonts w:ascii="Open Sans" w:hAnsi="Open Sans" w:cs="Open Sans"/>
                <w:noProof/>
              </w:rPr>
              <w:t>How Are Negotiated Levels of Performance Established?</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_Toc171600480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25</w:t>
            </w:r>
            <w:r w:rsidR="00093147" w:rsidRPr="00944CCC">
              <w:rPr>
                <w:rStyle w:val="Hyperlink"/>
                <w:rFonts w:ascii="Open Sans" w:hAnsi="Open Sans" w:cs="Open Sans"/>
                <w:webHidden/>
              </w:rPr>
              <w:fldChar w:fldCharType="end"/>
            </w:r>
          </w:hyperlink>
        </w:p>
        <w:p w14:paraId="1C7D2FF7" w14:textId="4DCADE82"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81"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_Toc171600481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26</w:t>
            </w:r>
            <w:r w:rsidR="00093147" w:rsidRPr="00944CCC">
              <w:rPr>
                <w:rStyle w:val="Hyperlink"/>
                <w:rFonts w:ascii="Open Sans" w:hAnsi="Open Sans" w:cs="Open Sans"/>
                <w:webHidden/>
              </w:rPr>
              <w:fldChar w:fldCharType="end"/>
            </w:r>
          </w:hyperlink>
        </w:p>
        <w:p w14:paraId="09A5D154" w14:textId="2E80D8A0"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482" w:history="1">
            <w:r w:rsidR="00093147" w:rsidRPr="00944CCC">
              <w:rPr>
                <w:rStyle w:val="Hyperlink"/>
                <w:rFonts w:ascii="Open Sans" w:hAnsi="Open Sans" w:cs="Open Sans"/>
                <w:noProof/>
              </w:rPr>
              <w:t>The Statistical Adjustment Model</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_Toc171600482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27</w:t>
            </w:r>
            <w:r w:rsidR="00093147" w:rsidRPr="00944CCC">
              <w:rPr>
                <w:rStyle w:val="Hyperlink"/>
                <w:rFonts w:ascii="Open Sans" w:hAnsi="Open Sans" w:cs="Open Sans"/>
                <w:webHidden/>
              </w:rPr>
              <w:fldChar w:fldCharType="end"/>
            </w:r>
          </w:hyperlink>
        </w:p>
        <w:p w14:paraId="395C38A4" w14:textId="2B7DAEA7"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83" w:history="1">
            <w:r w:rsidR="00093147" w:rsidRPr="00944CCC">
              <w:rPr>
                <w:rStyle w:val="Hyperlink"/>
                <w:rFonts w:ascii="Open Sans" w:hAnsi="Open Sans" w:cs="Open Sans"/>
                <w:noProof/>
              </w:rPr>
              <w:t>What Is the Statistical Adjustment Model?</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_Toc171600483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27</w:t>
            </w:r>
            <w:r w:rsidR="00093147" w:rsidRPr="00944CCC">
              <w:rPr>
                <w:rStyle w:val="Hyperlink"/>
                <w:rFonts w:ascii="Open Sans" w:hAnsi="Open Sans" w:cs="Open Sans"/>
                <w:webHidden/>
              </w:rPr>
              <w:fldChar w:fldCharType="end"/>
            </w:r>
          </w:hyperlink>
        </w:p>
        <w:p w14:paraId="21F5BD1A" w14:textId="5CE5DF30"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84" w:history="1">
            <w:r w:rsidR="00093147" w:rsidRPr="00944CCC">
              <w:rPr>
                <w:rStyle w:val="Hyperlink"/>
                <w:rFonts w:ascii="Open Sans" w:hAnsi="Open Sans" w:cs="Open Sans"/>
                <w:noProof/>
              </w:rPr>
              <w:t>Success, Failure, and Sanctions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_Toc171600484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28</w:t>
            </w:r>
            <w:r w:rsidR="00093147" w:rsidRPr="00944CCC">
              <w:rPr>
                <w:rStyle w:val="Hyperlink"/>
                <w:rFonts w:ascii="Open Sans" w:hAnsi="Open Sans" w:cs="Open Sans"/>
                <w:webHidden/>
              </w:rPr>
              <w:fldChar w:fldCharType="end"/>
            </w:r>
          </w:hyperlink>
        </w:p>
        <w:p w14:paraId="6B6459E5" w14:textId="0090FDEA"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85"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_Toc171600485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28</w:t>
            </w:r>
            <w:r w:rsidR="00093147" w:rsidRPr="00944CCC">
              <w:rPr>
                <w:rStyle w:val="Hyperlink"/>
                <w:rFonts w:ascii="Open Sans" w:hAnsi="Open Sans" w:cs="Open Sans"/>
                <w:webHidden/>
              </w:rPr>
              <w:fldChar w:fldCharType="end"/>
            </w:r>
          </w:hyperlink>
        </w:p>
        <w:p w14:paraId="03D9A307" w14:textId="6018D862"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486" w:history="1">
            <w:r w:rsidR="00093147" w:rsidRPr="00944CCC">
              <w:rPr>
                <w:rStyle w:val="Hyperlink"/>
                <w:rFonts w:ascii="Open Sans" w:hAnsi="Open Sans" w:cs="Open Sans"/>
                <w:noProof/>
              </w:rPr>
              <w:t>The Process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_Toc171600486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30</w:t>
            </w:r>
            <w:r w:rsidR="00093147" w:rsidRPr="00944CCC">
              <w:rPr>
                <w:rStyle w:val="Hyperlink"/>
                <w:rFonts w:ascii="Open Sans" w:hAnsi="Open Sans" w:cs="Open Sans"/>
                <w:webHidden/>
              </w:rPr>
              <w:fldChar w:fldCharType="end"/>
            </w:r>
          </w:hyperlink>
        </w:p>
        <w:p w14:paraId="4F4FE855" w14:textId="35B6F8B1"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87" w:history="1">
            <w:r w:rsidR="00093147" w:rsidRPr="00944CCC">
              <w:rPr>
                <w:rStyle w:val="Hyperlink"/>
                <w:rFonts w:ascii="Open Sans" w:hAnsi="Open Sans" w:cs="Open Sans"/>
                <w:noProof/>
              </w:rPr>
              <w:t>Requirements for the State Distribution of Funds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_Toc171600487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30</w:t>
            </w:r>
            <w:r w:rsidR="00093147" w:rsidRPr="00944CCC">
              <w:rPr>
                <w:rStyle w:val="Hyperlink"/>
                <w:rFonts w:ascii="Open Sans" w:hAnsi="Open Sans" w:cs="Open Sans"/>
                <w:webHidden/>
              </w:rPr>
              <w:fldChar w:fldCharType="end"/>
            </w:r>
          </w:hyperlink>
        </w:p>
        <w:p w14:paraId="4790E5D6" w14:textId="2ECC1372"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88" w:history="1">
            <w:r w:rsidR="00093147" w:rsidRPr="00944CCC">
              <w:rPr>
                <w:rStyle w:val="Hyperlink"/>
                <w:rFonts w:ascii="Open Sans" w:hAnsi="Open Sans" w:cs="Open Sans"/>
                <w:noProof/>
              </w:rPr>
              <w:t>The Process States Must Follow When Making Awards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_Toc171600488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31</w:t>
            </w:r>
            <w:r w:rsidR="00093147" w:rsidRPr="00944CCC">
              <w:rPr>
                <w:rStyle w:val="Hyperlink"/>
                <w:rFonts w:ascii="Open Sans" w:hAnsi="Open Sans" w:cs="Open Sans"/>
                <w:webHidden/>
              </w:rPr>
              <w:fldChar w:fldCharType="end"/>
            </w:r>
          </w:hyperlink>
        </w:p>
        <w:p w14:paraId="1CCE1E3B" w14:textId="76C34D6A"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89" w:history="1">
            <w:r w:rsidR="00093147" w:rsidRPr="00944CCC">
              <w:rPr>
                <w:rStyle w:val="Hyperlink"/>
                <w:rFonts w:ascii="Open Sans" w:hAnsi="Open Sans" w:cs="Open Sans"/>
                <w:noProof/>
              </w:rPr>
              <w:t>What Must Be Included in an Application</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_Toc171600489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33</w:t>
            </w:r>
            <w:r w:rsidR="00093147" w:rsidRPr="00944CCC">
              <w:rPr>
                <w:rStyle w:val="Hyperlink"/>
                <w:rFonts w:ascii="Open Sans" w:hAnsi="Open Sans" w:cs="Open Sans"/>
                <w:webHidden/>
              </w:rPr>
              <w:fldChar w:fldCharType="end"/>
            </w:r>
          </w:hyperlink>
        </w:p>
        <w:p w14:paraId="2A6A8EF5" w14:textId="7B9047F5"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90" w:history="1">
            <w:r w:rsidR="00093147" w:rsidRPr="00944CCC">
              <w:rPr>
                <w:rStyle w:val="Hyperlink"/>
                <w:rFonts w:ascii="Open Sans" w:hAnsi="Open Sans" w:cs="Open Sans"/>
                <w:noProof/>
              </w:rPr>
              <w:t>Who is Eligible to Apply for a Grant or Contract?</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_Toc171600490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33</w:t>
            </w:r>
            <w:r w:rsidR="00093147" w:rsidRPr="00944CCC">
              <w:rPr>
                <w:rStyle w:val="Hyperlink"/>
                <w:rFonts w:ascii="Open Sans" w:hAnsi="Open Sans" w:cs="Open Sans"/>
                <w:webHidden/>
              </w:rPr>
              <w:fldChar w:fldCharType="end"/>
            </w:r>
          </w:hyperlink>
        </w:p>
        <w:p w14:paraId="54FB1875" w14:textId="18E80CE3"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91"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_Toc171600491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34</w:t>
            </w:r>
            <w:r w:rsidR="00093147" w:rsidRPr="00944CCC">
              <w:rPr>
                <w:rStyle w:val="Hyperlink"/>
                <w:rFonts w:ascii="Open Sans" w:hAnsi="Open Sans" w:cs="Open Sans"/>
                <w:webHidden/>
              </w:rPr>
              <w:fldChar w:fldCharType="end"/>
            </w:r>
          </w:hyperlink>
        </w:p>
        <w:p w14:paraId="3FE616F9" w14:textId="13A226BA"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492" w:history="1">
            <w:r w:rsidR="00093147" w:rsidRPr="00944CCC">
              <w:rPr>
                <w:rStyle w:val="Hyperlink"/>
                <w:rFonts w:ascii="Open Sans" w:hAnsi="Open Sans" w:cs="Open Sans"/>
                <w:noProof/>
              </w:rPr>
              <w:t>Eligibility-Demonstrated Effectiveness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_Toc171600492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35</w:t>
            </w:r>
            <w:r w:rsidR="00093147" w:rsidRPr="00944CCC">
              <w:rPr>
                <w:rStyle w:val="Hyperlink"/>
                <w:rFonts w:ascii="Open Sans" w:hAnsi="Open Sans" w:cs="Open Sans"/>
                <w:webHidden/>
              </w:rPr>
              <w:fldChar w:fldCharType="end"/>
            </w:r>
          </w:hyperlink>
        </w:p>
        <w:p w14:paraId="790C1975" w14:textId="2B739564"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93" w:history="1">
            <w:r w:rsidR="00093147" w:rsidRPr="00944CCC">
              <w:rPr>
                <w:rStyle w:val="Hyperlink"/>
                <w:rFonts w:ascii="Open Sans" w:hAnsi="Open Sans" w:cs="Open Sans"/>
                <w:noProof/>
              </w:rPr>
              <w:t>Demonstrated Effectiveness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_Toc171600493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35</w:t>
            </w:r>
            <w:r w:rsidR="00093147" w:rsidRPr="00944CCC">
              <w:rPr>
                <w:rStyle w:val="Hyperlink"/>
                <w:rFonts w:ascii="Open Sans" w:hAnsi="Open Sans" w:cs="Open Sans"/>
                <w:webHidden/>
              </w:rPr>
              <w:fldChar w:fldCharType="end"/>
            </w:r>
          </w:hyperlink>
        </w:p>
        <w:p w14:paraId="603996E3" w14:textId="4A20D5BF"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94"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_Toc171600494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37</w:t>
            </w:r>
            <w:r w:rsidR="00093147" w:rsidRPr="00944CCC">
              <w:rPr>
                <w:rStyle w:val="Hyperlink"/>
                <w:rFonts w:ascii="Open Sans" w:hAnsi="Open Sans" w:cs="Open Sans"/>
                <w:webHidden/>
              </w:rPr>
              <w:fldChar w:fldCharType="end"/>
            </w:r>
          </w:hyperlink>
        </w:p>
        <w:p w14:paraId="1C5E6632" w14:textId="1DCA16FE"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495" w:history="1">
            <w:r w:rsidR="00093147" w:rsidRPr="00944CCC">
              <w:rPr>
                <w:rStyle w:val="Hyperlink"/>
                <w:rFonts w:ascii="Open Sans" w:hAnsi="Open Sans" w:cs="Open Sans"/>
                <w:noProof/>
              </w:rPr>
              <w:t>Administrative Costs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_Toc171600495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39</w:t>
            </w:r>
            <w:r w:rsidR="00093147" w:rsidRPr="00944CCC">
              <w:rPr>
                <w:rStyle w:val="Hyperlink"/>
                <w:rFonts w:ascii="Open Sans" w:hAnsi="Open Sans" w:cs="Open Sans"/>
                <w:webHidden/>
              </w:rPr>
              <w:fldChar w:fldCharType="end"/>
            </w:r>
          </w:hyperlink>
        </w:p>
        <w:p w14:paraId="6C835CEF" w14:textId="3436CE6A"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96" w:history="1">
            <w:r w:rsidR="00093147" w:rsidRPr="00944CCC">
              <w:rPr>
                <w:rStyle w:val="Hyperlink"/>
                <w:rFonts w:ascii="Open Sans" w:hAnsi="Open Sans" w:cs="Open Sans"/>
                <w:noProof/>
              </w:rPr>
              <w:t>Requirements for Local Administrative Costs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_Toc171600496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39</w:t>
            </w:r>
            <w:r w:rsidR="00093147" w:rsidRPr="00944CCC">
              <w:rPr>
                <w:rStyle w:val="Hyperlink"/>
                <w:rFonts w:ascii="Open Sans" w:hAnsi="Open Sans" w:cs="Open Sans"/>
                <w:webHidden/>
              </w:rPr>
              <w:fldChar w:fldCharType="end"/>
            </w:r>
          </w:hyperlink>
        </w:p>
        <w:p w14:paraId="069135B0" w14:textId="182FC47E"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97"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_Toc171600497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40</w:t>
            </w:r>
            <w:r w:rsidR="00093147" w:rsidRPr="00944CCC">
              <w:rPr>
                <w:rStyle w:val="Hyperlink"/>
                <w:rFonts w:ascii="Open Sans" w:hAnsi="Open Sans" w:cs="Open Sans"/>
                <w:webHidden/>
              </w:rPr>
              <w:fldChar w:fldCharType="end"/>
            </w:r>
          </w:hyperlink>
        </w:p>
        <w:p w14:paraId="0BC553F8" w14:textId="76A4B8E9"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498" w:history="1">
            <w:r w:rsidR="00093147" w:rsidRPr="00944CCC">
              <w:rPr>
                <w:rStyle w:val="Hyperlink"/>
                <w:rFonts w:ascii="Open Sans" w:hAnsi="Open Sans" w:cs="Open Sans"/>
                <w:noProof/>
              </w:rPr>
              <w:t>Key Processes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_Toc171600498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41</w:t>
            </w:r>
            <w:r w:rsidR="00093147" w:rsidRPr="00944CCC">
              <w:rPr>
                <w:rStyle w:val="Hyperlink"/>
                <w:rFonts w:ascii="Open Sans" w:hAnsi="Open Sans" w:cs="Open Sans"/>
                <w:webHidden/>
              </w:rPr>
              <w:fldChar w:fldCharType="end"/>
            </w:r>
          </w:hyperlink>
        </w:p>
        <w:p w14:paraId="2C32F8F5" w14:textId="330ABBB9"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499"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_Toc171600499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45</w:t>
            </w:r>
            <w:r w:rsidR="00093147" w:rsidRPr="00944CCC">
              <w:rPr>
                <w:rStyle w:val="Hyperlink"/>
                <w:rFonts w:ascii="Open Sans" w:hAnsi="Open Sans" w:cs="Open Sans"/>
                <w:webHidden/>
              </w:rPr>
              <w:fldChar w:fldCharType="end"/>
            </w:r>
          </w:hyperlink>
        </w:p>
        <w:p w14:paraId="3A859AC2" w14:textId="23D6ABF1"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500" w:history="1">
            <w:r w:rsidR="00093147" w:rsidRPr="00944CCC">
              <w:rPr>
                <w:rStyle w:val="Hyperlink"/>
                <w:rFonts w:ascii="Open Sans" w:hAnsi="Open Sans" w:cs="Open Sans"/>
                <w:noProof/>
              </w:rPr>
              <w:t>DAEL’s Monitoring Process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_Toc171600500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46</w:t>
            </w:r>
            <w:r w:rsidR="00093147" w:rsidRPr="00944CCC">
              <w:rPr>
                <w:rStyle w:val="Hyperlink"/>
                <w:rFonts w:ascii="Open Sans" w:hAnsi="Open Sans" w:cs="Open Sans"/>
                <w:webHidden/>
              </w:rPr>
              <w:fldChar w:fldCharType="end"/>
            </w:r>
          </w:hyperlink>
        </w:p>
        <w:p w14:paraId="328ED074" w14:textId="631A60A7"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01" w:history="1">
            <w:r w:rsidR="00093147" w:rsidRPr="00944CCC">
              <w:rPr>
                <w:rStyle w:val="Hyperlink"/>
                <w:rFonts w:ascii="Open Sans" w:hAnsi="Open Sans" w:cs="Open Sans"/>
                <w:noProof/>
              </w:rPr>
              <w:t>DAEL's Monitoring Philosophy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_Toc171600501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46</w:t>
            </w:r>
            <w:r w:rsidR="00093147" w:rsidRPr="00944CCC">
              <w:rPr>
                <w:rStyle w:val="Hyperlink"/>
                <w:rFonts w:ascii="Open Sans" w:hAnsi="Open Sans" w:cs="Open Sans"/>
                <w:webHidden/>
              </w:rPr>
              <w:fldChar w:fldCharType="end"/>
            </w:r>
          </w:hyperlink>
        </w:p>
        <w:p w14:paraId="2BDFD306" w14:textId="1D0B5916"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02" w:history="1">
            <w:r w:rsidR="00093147" w:rsidRPr="00944CCC">
              <w:rPr>
                <w:rStyle w:val="Hyperlink"/>
                <w:rFonts w:ascii="Open Sans" w:hAnsi="Open Sans" w:cs="Open Sans"/>
                <w:noProof/>
              </w:rPr>
              <w:t>Types of Monitoring Activities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_Toc171600502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47</w:t>
            </w:r>
            <w:r w:rsidR="00093147" w:rsidRPr="00944CCC">
              <w:rPr>
                <w:rStyle w:val="Hyperlink"/>
                <w:rFonts w:ascii="Open Sans" w:hAnsi="Open Sans" w:cs="Open Sans"/>
                <w:webHidden/>
              </w:rPr>
              <w:fldChar w:fldCharType="end"/>
            </w:r>
          </w:hyperlink>
        </w:p>
        <w:p w14:paraId="44AF61B3" w14:textId="29415EAC"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03" w:history="1">
            <w:r w:rsidR="00093147" w:rsidRPr="00944CCC">
              <w:rPr>
                <w:rStyle w:val="Hyperlink"/>
                <w:rFonts w:ascii="Open Sans" w:hAnsi="Open Sans" w:cs="Open Sans"/>
                <w:noProof/>
              </w:rPr>
              <w:t>Risk-based Monitoring</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_Toc171600503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48</w:t>
            </w:r>
            <w:r w:rsidR="00093147" w:rsidRPr="00944CCC">
              <w:rPr>
                <w:rStyle w:val="Hyperlink"/>
                <w:rFonts w:ascii="Open Sans" w:hAnsi="Open Sans" w:cs="Open Sans"/>
                <w:webHidden/>
              </w:rPr>
              <w:fldChar w:fldCharType="end"/>
            </w:r>
          </w:hyperlink>
        </w:p>
        <w:p w14:paraId="1743E5AC" w14:textId="2563F3DF"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04"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_Toc171600504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51</w:t>
            </w:r>
            <w:r w:rsidR="00093147" w:rsidRPr="00944CCC">
              <w:rPr>
                <w:rStyle w:val="Hyperlink"/>
                <w:rFonts w:ascii="Open Sans" w:hAnsi="Open Sans" w:cs="Open Sans"/>
                <w:webHidden/>
              </w:rPr>
              <w:fldChar w:fldCharType="end"/>
            </w:r>
          </w:hyperlink>
        </w:p>
        <w:p w14:paraId="22CEC291" w14:textId="5D86C618"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505" w:history="1">
            <w:r w:rsidR="00093147" w:rsidRPr="00944CCC">
              <w:rPr>
                <w:rStyle w:val="Hyperlink"/>
                <w:rFonts w:ascii="Open Sans" w:hAnsi="Open Sans" w:cs="Open Sans"/>
                <w:noProof/>
              </w:rPr>
              <w:t>Overview of Monitoring</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_Toc171600505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52</w:t>
            </w:r>
            <w:r w:rsidR="00093147" w:rsidRPr="00944CCC">
              <w:rPr>
                <w:rStyle w:val="Hyperlink"/>
                <w:rFonts w:ascii="Open Sans" w:hAnsi="Open Sans" w:cs="Open Sans"/>
                <w:webHidden/>
              </w:rPr>
              <w:fldChar w:fldCharType="end"/>
            </w:r>
          </w:hyperlink>
        </w:p>
        <w:p w14:paraId="710AE84C" w14:textId="24CFC06C"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06" w:history="1">
            <w:r w:rsidR="00093147" w:rsidRPr="00944CCC">
              <w:rPr>
                <w:rStyle w:val="Hyperlink"/>
                <w:rFonts w:ascii="Open Sans" w:hAnsi="Open Sans" w:cs="Open Sans"/>
                <w:noProof/>
              </w:rPr>
              <w:t>What Is Monitoring?</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_Toc171600506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52</w:t>
            </w:r>
            <w:r w:rsidR="00093147" w:rsidRPr="00944CCC">
              <w:rPr>
                <w:rStyle w:val="Hyperlink"/>
                <w:rFonts w:ascii="Open Sans" w:hAnsi="Open Sans" w:cs="Open Sans"/>
                <w:webHidden/>
              </w:rPr>
              <w:fldChar w:fldCharType="end"/>
            </w:r>
          </w:hyperlink>
        </w:p>
        <w:p w14:paraId="4A7EB195" w14:textId="587FA010"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07" w:history="1">
            <w:r w:rsidR="00093147" w:rsidRPr="00944CCC">
              <w:rPr>
                <w:rStyle w:val="Hyperlink"/>
                <w:rFonts w:ascii="Open Sans" w:hAnsi="Open Sans" w:cs="Open Sans"/>
                <w:noProof/>
              </w:rPr>
              <w:t>Where to Find Monitoring Requirements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_Toc171600507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52</w:t>
            </w:r>
            <w:r w:rsidR="00093147" w:rsidRPr="00944CCC">
              <w:rPr>
                <w:rStyle w:val="Hyperlink"/>
                <w:rFonts w:ascii="Open Sans" w:hAnsi="Open Sans" w:cs="Open Sans"/>
                <w:webHidden/>
              </w:rPr>
              <w:fldChar w:fldCharType="end"/>
            </w:r>
          </w:hyperlink>
        </w:p>
        <w:p w14:paraId="796F7246" w14:textId="236D0A5E"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08" w:history="1">
            <w:r w:rsidR="00093147" w:rsidRPr="00944CCC">
              <w:rPr>
                <w:rStyle w:val="Hyperlink"/>
                <w:rFonts w:ascii="Open Sans" w:hAnsi="Open Sans" w:cs="Open Sans"/>
                <w:noProof/>
              </w:rPr>
              <w:t>Monitoring FAQs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_Toc171600508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52</w:t>
            </w:r>
            <w:r w:rsidR="00093147" w:rsidRPr="00944CCC">
              <w:rPr>
                <w:rStyle w:val="Hyperlink"/>
                <w:rFonts w:ascii="Open Sans" w:hAnsi="Open Sans" w:cs="Open Sans"/>
                <w:webHidden/>
              </w:rPr>
              <w:fldChar w:fldCharType="end"/>
            </w:r>
          </w:hyperlink>
        </w:p>
        <w:p w14:paraId="437FDCC4" w14:textId="6271FA41"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09" w:history="1">
            <w:r w:rsidR="00093147" w:rsidRPr="00944CCC">
              <w:rPr>
                <w:rStyle w:val="Hyperlink"/>
                <w:rFonts w:ascii="Open Sans" w:hAnsi="Open Sans" w:cs="Open Sans"/>
                <w:noProof/>
              </w:rPr>
              <w:t>Monitoring Requirements in the Uniform Guidance</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_Toc171600509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54</w:t>
            </w:r>
            <w:r w:rsidR="00093147" w:rsidRPr="00944CCC">
              <w:rPr>
                <w:rStyle w:val="Hyperlink"/>
                <w:rFonts w:ascii="Open Sans" w:hAnsi="Open Sans" w:cs="Open Sans"/>
                <w:webHidden/>
              </w:rPr>
              <w:fldChar w:fldCharType="end"/>
            </w:r>
          </w:hyperlink>
        </w:p>
        <w:p w14:paraId="1B45366E" w14:textId="520E17AA"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10"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_Toc171600510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54</w:t>
            </w:r>
            <w:r w:rsidR="00093147" w:rsidRPr="00944CCC">
              <w:rPr>
                <w:rStyle w:val="Hyperlink"/>
                <w:rFonts w:ascii="Open Sans" w:hAnsi="Open Sans" w:cs="Open Sans"/>
                <w:webHidden/>
              </w:rPr>
              <w:fldChar w:fldCharType="end"/>
            </w:r>
          </w:hyperlink>
        </w:p>
        <w:p w14:paraId="4945CAAA" w14:textId="44AE7078"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511" w:history="1">
            <w:r w:rsidR="00093147" w:rsidRPr="00944CCC">
              <w:rPr>
                <w:rStyle w:val="Hyperlink"/>
                <w:rFonts w:ascii="Open Sans" w:hAnsi="Open Sans" w:cs="Open Sans"/>
                <w:noProof/>
              </w:rPr>
              <w:t>Statutory and Regulatory Monitoring Requirements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_Toc171600511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56</w:t>
            </w:r>
            <w:r w:rsidR="00093147" w:rsidRPr="00944CCC">
              <w:rPr>
                <w:rStyle w:val="Hyperlink"/>
                <w:rFonts w:ascii="Open Sans" w:hAnsi="Open Sans" w:cs="Open Sans"/>
                <w:webHidden/>
              </w:rPr>
              <w:fldChar w:fldCharType="end"/>
            </w:r>
          </w:hyperlink>
        </w:p>
        <w:p w14:paraId="157CB826" w14:textId="3A3125C0"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12" w:history="1">
            <w:r w:rsidR="00093147" w:rsidRPr="00944CCC">
              <w:rPr>
                <w:rStyle w:val="Hyperlink"/>
                <w:rFonts w:ascii="Open Sans" w:hAnsi="Open Sans" w:cs="Open Sans"/>
                <w:noProof/>
              </w:rPr>
              <w:t>Why You Need to Monitor</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_Toc171600512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56</w:t>
            </w:r>
            <w:r w:rsidR="00093147" w:rsidRPr="00944CCC">
              <w:rPr>
                <w:rStyle w:val="Hyperlink"/>
                <w:rFonts w:ascii="Open Sans" w:hAnsi="Open Sans" w:cs="Open Sans"/>
                <w:webHidden/>
              </w:rPr>
              <w:fldChar w:fldCharType="end"/>
            </w:r>
          </w:hyperlink>
        </w:p>
        <w:p w14:paraId="6CB13BDB" w14:textId="13AC91FA"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13" w:history="1">
            <w:r w:rsidR="00093147" w:rsidRPr="00944CCC">
              <w:rPr>
                <w:rStyle w:val="Hyperlink"/>
                <w:rFonts w:ascii="Open Sans" w:hAnsi="Open Sans" w:cs="Open Sans"/>
                <w:noProof/>
              </w:rPr>
              <w:t>Statutory Requirements for Monitoring</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_Toc171600513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56</w:t>
            </w:r>
            <w:r w:rsidR="00093147" w:rsidRPr="00944CCC">
              <w:rPr>
                <w:rStyle w:val="Hyperlink"/>
                <w:rFonts w:ascii="Open Sans" w:hAnsi="Open Sans" w:cs="Open Sans"/>
                <w:webHidden/>
              </w:rPr>
              <w:fldChar w:fldCharType="end"/>
            </w:r>
          </w:hyperlink>
        </w:p>
        <w:p w14:paraId="66522749" w14:textId="02E4B83C"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14" w:history="1">
            <w:r w:rsidR="00093147" w:rsidRPr="00944CCC">
              <w:rPr>
                <w:rStyle w:val="Hyperlink"/>
                <w:rFonts w:ascii="Open Sans" w:hAnsi="Open Sans" w:cs="Open Sans"/>
                <w:noProof/>
              </w:rPr>
              <w:t>Regulatory Requirements for Monitoring</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_Toc171600514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57</w:t>
            </w:r>
            <w:r w:rsidR="00093147" w:rsidRPr="00944CCC">
              <w:rPr>
                <w:rStyle w:val="Hyperlink"/>
                <w:rFonts w:ascii="Open Sans" w:hAnsi="Open Sans" w:cs="Open Sans"/>
                <w:webHidden/>
              </w:rPr>
              <w:fldChar w:fldCharType="end"/>
            </w:r>
          </w:hyperlink>
        </w:p>
        <w:p w14:paraId="78B9F68E" w14:textId="041F461D"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15" w:history="1">
            <w:r w:rsidR="00093147" w:rsidRPr="00944CCC">
              <w:rPr>
                <w:rStyle w:val="Hyperlink"/>
                <w:rFonts w:ascii="Open Sans" w:hAnsi="Open Sans" w:cs="Open Sans"/>
                <w:noProof/>
              </w:rPr>
              <w:t>Guidance for Monitoring</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_Toc171600515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58</w:t>
            </w:r>
            <w:r w:rsidR="00093147" w:rsidRPr="00944CCC">
              <w:rPr>
                <w:rStyle w:val="Hyperlink"/>
                <w:rFonts w:ascii="Open Sans" w:hAnsi="Open Sans" w:cs="Open Sans"/>
                <w:webHidden/>
              </w:rPr>
              <w:fldChar w:fldCharType="end"/>
            </w:r>
          </w:hyperlink>
        </w:p>
        <w:p w14:paraId="11349A07" w14:textId="03E09BD5"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16"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_Toc171600516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59</w:t>
            </w:r>
            <w:r w:rsidR="00093147" w:rsidRPr="00944CCC">
              <w:rPr>
                <w:rStyle w:val="Hyperlink"/>
                <w:rFonts w:ascii="Open Sans" w:hAnsi="Open Sans" w:cs="Open Sans"/>
                <w:webHidden/>
              </w:rPr>
              <w:fldChar w:fldCharType="end"/>
            </w:r>
          </w:hyperlink>
        </w:p>
        <w:p w14:paraId="2A05BC83" w14:textId="77D951BF"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517" w:history="1">
            <w:r w:rsidR="00093147" w:rsidRPr="00944CCC">
              <w:rPr>
                <w:rStyle w:val="Hyperlink"/>
                <w:rFonts w:ascii="Open Sans" w:hAnsi="Open Sans" w:cs="Open Sans"/>
                <w:noProof/>
              </w:rPr>
              <w:t>Risk Based Monitoring</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_Toc171600517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60</w:t>
            </w:r>
            <w:r w:rsidR="00093147" w:rsidRPr="00944CCC">
              <w:rPr>
                <w:rStyle w:val="Hyperlink"/>
                <w:rFonts w:ascii="Open Sans" w:hAnsi="Open Sans" w:cs="Open Sans"/>
                <w:webHidden/>
              </w:rPr>
              <w:fldChar w:fldCharType="end"/>
            </w:r>
          </w:hyperlink>
        </w:p>
        <w:p w14:paraId="391DA962" w14:textId="3D378DDB"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18" w:history="1">
            <w:r w:rsidR="00093147" w:rsidRPr="00944CCC">
              <w:rPr>
                <w:rStyle w:val="Hyperlink"/>
                <w:rFonts w:ascii="Open Sans" w:hAnsi="Open Sans" w:cs="Open Sans"/>
                <w:noProof/>
              </w:rPr>
              <w:t>Why Risk-based Monitoring Is Important</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_Toc171600518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60</w:t>
            </w:r>
            <w:r w:rsidR="00093147" w:rsidRPr="00944CCC">
              <w:rPr>
                <w:rStyle w:val="Hyperlink"/>
                <w:rFonts w:ascii="Open Sans" w:hAnsi="Open Sans" w:cs="Open Sans"/>
                <w:webHidden/>
              </w:rPr>
              <w:fldChar w:fldCharType="end"/>
            </w:r>
          </w:hyperlink>
        </w:p>
        <w:p w14:paraId="41F7EC7E" w14:textId="00B97BBF"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19" w:history="1">
            <w:r w:rsidR="00093147" w:rsidRPr="00944CCC">
              <w:rPr>
                <w:rStyle w:val="Hyperlink"/>
                <w:rFonts w:ascii="Open Sans" w:hAnsi="Open Sans" w:cs="Open Sans"/>
                <w:noProof/>
              </w:rPr>
              <w:t>What Is Risk-based Monitoring?</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_Toc171600519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60</w:t>
            </w:r>
            <w:r w:rsidR="00093147" w:rsidRPr="00944CCC">
              <w:rPr>
                <w:rStyle w:val="Hyperlink"/>
                <w:rFonts w:ascii="Open Sans" w:hAnsi="Open Sans" w:cs="Open Sans"/>
                <w:webHidden/>
              </w:rPr>
              <w:fldChar w:fldCharType="end"/>
            </w:r>
          </w:hyperlink>
        </w:p>
        <w:p w14:paraId="5F387A15" w14:textId="7E309AB8"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20" w:history="1">
            <w:r w:rsidR="00093147" w:rsidRPr="00944CCC">
              <w:rPr>
                <w:rStyle w:val="Hyperlink"/>
                <w:rFonts w:ascii="Open Sans" w:hAnsi="Open Sans" w:cs="Open Sans"/>
                <w:noProof/>
              </w:rPr>
              <w:t>Risk-based Monitoring in Your Monitoring Plan</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_Toc171600520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61</w:t>
            </w:r>
            <w:r w:rsidR="00093147" w:rsidRPr="00944CCC">
              <w:rPr>
                <w:rStyle w:val="Hyperlink"/>
                <w:rFonts w:ascii="Open Sans" w:hAnsi="Open Sans" w:cs="Open Sans"/>
                <w:webHidden/>
              </w:rPr>
              <w:fldChar w:fldCharType="end"/>
            </w:r>
          </w:hyperlink>
        </w:p>
        <w:p w14:paraId="14B06F71" w14:textId="6E3EA640"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21"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_Toc171600521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62</w:t>
            </w:r>
            <w:r w:rsidR="00093147" w:rsidRPr="00944CCC">
              <w:rPr>
                <w:rStyle w:val="Hyperlink"/>
                <w:rFonts w:ascii="Open Sans" w:hAnsi="Open Sans" w:cs="Open Sans"/>
                <w:webHidden/>
              </w:rPr>
              <w:fldChar w:fldCharType="end"/>
            </w:r>
          </w:hyperlink>
        </w:p>
        <w:p w14:paraId="4FB00689" w14:textId="2E4B369D"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522" w:history="1">
            <w:r w:rsidR="00093147" w:rsidRPr="00944CCC">
              <w:rPr>
                <w:rStyle w:val="Hyperlink"/>
                <w:rFonts w:ascii="Open Sans" w:hAnsi="Open Sans" w:cs="Open Sans"/>
                <w:noProof/>
              </w:rPr>
              <w:t>Monitoring Frameworks and Activities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_Toc171600522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63</w:t>
            </w:r>
            <w:r w:rsidR="00093147" w:rsidRPr="00944CCC">
              <w:rPr>
                <w:rStyle w:val="Hyperlink"/>
                <w:rFonts w:ascii="Open Sans" w:hAnsi="Open Sans" w:cs="Open Sans"/>
                <w:webHidden/>
              </w:rPr>
              <w:fldChar w:fldCharType="end"/>
            </w:r>
          </w:hyperlink>
        </w:p>
        <w:p w14:paraId="2EF7905C" w14:textId="7DD2CC03"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23" w:history="1">
            <w:r w:rsidR="00093147" w:rsidRPr="00944CCC">
              <w:rPr>
                <w:rStyle w:val="Hyperlink"/>
                <w:rFonts w:ascii="Open Sans" w:hAnsi="Open Sans" w:cs="Open Sans"/>
                <w:noProof/>
              </w:rPr>
              <w:t>Why Monitoring Activities Are Important</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_Toc171600523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63</w:t>
            </w:r>
            <w:r w:rsidR="00093147" w:rsidRPr="00944CCC">
              <w:rPr>
                <w:rStyle w:val="Hyperlink"/>
                <w:rFonts w:ascii="Open Sans" w:hAnsi="Open Sans" w:cs="Open Sans"/>
                <w:webHidden/>
              </w:rPr>
              <w:fldChar w:fldCharType="end"/>
            </w:r>
          </w:hyperlink>
        </w:p>
        <w:p w14:paraId="6A69E40C" w14:textId="0ABB8F49"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24" w:history="1">
            <w:r w:rsidR="00093147" w:rsidRPr="00944CCC">
              <w:rPr>
                <w:rStyle w:val="Hyperlink"/>
                <w:rFonts w:ascii="Open Sans" w:hAnsi="Open Sans" w:cs="Open Sans"/>
                <w:noProof/>
              </w:rPr>
              <w:t>The Monitoring Framework</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_Toc171600524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63</w:t>
            </w:r>
            <w:r w:rsidR="00093147" w:rsidRPr="00944CCC">
              <w:rPr>
                <w:rStyle w:val="Hyperlink"/>
                <w:rFonts w:ascii="Open Sans" w:hAnsi="Open Sans" w:cs="Open Sans"/>
                <w:webHidden/>
              </w:rPr>
              <w:fldChar w:fldCharType="end"/>
            </w:r>
          </w:hyperlink>
        </w:p>
        <w:p w14:paraId="7B5E9D43" w14:textId="27998CA7"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25"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_Toc171600525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65</w:t>
            </w:r>
            <w:r w:rsidR="00093147" w:rsidRPr="00944CCC">
              <w:rPr>
                <w:rStyle w:val="Hyperlink"/>
                <w:rFonts w:ascii="Open Sans" w:hAnsi="Open Sans" w:cs="Open Sans"/>
                <w:webHidden/>
              </w:rPr>
              <w:fldChar w:fldCharType="end"/>
            </w:r>
          </w:hyperlink>
        </w:p>
        <w:p w14:paraId="77C40BAC" w14:textId="488954B1"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526" w:history="1">
            <w:r w:rsidR="00093147" w:rsidRPr="00944CCC">
              <w:rPr>
                <w:rStyle w:val="Hyperlink"/>
                <w:rFonts w:ascii="Open Sans" w:hAnsi="Open Sans" w:cs="Open Sans"/>
                <w:noProof/>
              </w:rPr>
              <w:t>The Law</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_Toc171600526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66</w:t>
            </w:r>
            <w:r w:rsidR="00093147" w:rsidRPr="00944CCC">
              <w:rPr>
                <w:rStyle w:val="Hyperlink"/>
                <w:rFonts w:ascii="Open Sans" w:hAnsi="Open Sans" w:cs="Open Sans"/>
                <w:webHidden/>
              </w:rPr>
              <w:fldChar w:fldCharType="end"/>
            </w:r>
          </w:hyperlink>
        </w:p>
        <w:p w14:paraId="3700BAE6" w14:textId="7532DAB4"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27" w:history="1">
            <w:r w:rsidR="00093147" w:rsidRPr="00944CCC">
              <w:rPr>
                <w:rStyle w:val="Hyperlink"/>
                <w:rFonts w:ascii="Open Sans" w:hAnsi="Open Sans" w:cs="Open Sans"/>
                <w:noProof/>
              </w:rPr>
              <w:t>What Guides Fiscal Work?</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_Toc171600527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66</w:t>
            </w:r>
            <w:r w:rsidR="00093147" w:rsidRPr="00944CCC">
              <w:rPr>
                <w:rStyle w:val="Hyperlink"/>
                <w:rFonts w:ascii="Open Sans" w:hAnsi="Open Sans" w:cs="Open Sans"/>
                <w:webHidden/>
              </w:rPr>
              <w:fldChar w:fldCharType="end"/>
            </w:r>
          </w:hyperlink>
        </w:p>
        <w:p w14:paraId="320ED54F" w14:textId="0A4619FD"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28" w:history="1">
            <w:r w:rsidR="00093147" w:rsidRPr="00944CCC">
              <w:rPr>
                <w:rStyle w:val="Hyperlink"/>
                <w:rFonts w:ascii="Open Sans" w:hAnsi="Open Sans" w:cs="Open Sans"/>
                <w:noProof/>
              </w:rPr>
              <w:t>Where to Find Information</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_Toc171600528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66</w:t>
            </w:r>
            <w:r w:rsidR="00093147" w:rsidRPr="00944CCC">
              <w:rPr>
                <w:rStyle w:val="Hyperlink"/>
                <w:rFonts w:ascii="Open Sans" w:hAnsi="Open Sans" w:cs="Open Sans"/>
                <w:webHidden/>
              </w:rPr>
              <w:fldChar w:fldCharType="end"/>
            </w:r>
          </w:hyperlink>
        </w:p>
        <w:p w14:paraId="7E1A03AC" w14:textId="24451C61"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29" w:history="1">
            <w:r w:rsidR="00093147" w:rsidRPr="00944CCC">
              <w:rPr>
                <w:rStyle w:val="Hyperlink"/>
                <w:rFonts w:ascii="Open Sans" w:hAnsi="Open Sans" w:cs="Open Sans"/>
                <w:noProof/>
              </w:rPr>
              <w:t>The State Matching Requirement</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_Toc171600529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67</w:t>
            </w:r>
            <w:r w:rsidR="00093147" w:rsidRPr="00944CCC">
              <w:rPr>
                <w:rStyle w:val="Hyperlink"/>
                <w:rFonts w:ascii="Open Sans" w:hAnsi="Open Sans" w:cs="Open Sans"/>
                <w:webHidden/>
              </w:rPr>
              <w:fldChar w:fldCharType="end"/>
            </w:r>
          </w:hyperlink>
        </w:p>
        <w:p w14:paraId="470BE4BB" w14:textId="779F9052"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30"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_Toc171600530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67</w:t>
            </w:r>
            <w:r w:rsidR="00093147" w:rsidRPr="00944CCC">
              <w:rPr>
                <w:rStyle w:val="Hyperlink"/>
                <w:rFonts w:ascii="Open Sans" w:hAnsi="Open Sans" w:cs="Open Sans"/>
                <w:webHidden/>
              </w:rPr>
              <w:fldChar w:fldCharType="end"/>
            </w:r>
          </w:hyperlink>
        </w:p>
        <w:p w14:paraId="2E52AE87" w14:textId="1B9C3202"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531" w:history="1">
            <w:r w:rsidR="00093147" w:rsidRPr="00944CCC">
              <w:rPr>
                <w:rStyle w:val="Hyperlink"/>
                <w:rFonts w:ascii="Open Sans" w:hAnsi="Open Sans" w:cs="Open Sans"/>
                <w:noProof/>
              </w:rPr>
              <w:t>AEFLA Grant Matching</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_Toc171600531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69</w:t>
            </w:r>
            <w:r w:rsidR="00093147" w:rsidRPr="00944CCC">
              <w:rPr>
                <w:rStyle w:val="Hyperlink"/>
                <w:rFonts w:ascii="Open Sans" w:hAnsi="Open Sans" w:cs="Open Sans"/>
                <w:webHidden/>
              </w:rPr>
              <w:fldChar w:fldCharType="end"/>
            </w:r>
          </w:hyperlink>
        </w:p>
        <w:p w14:paraId="34FE4DA8" w14:textId="4927D02D"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32" w:history="1">
            <w:r w:rsidR="00093147" w:rsidRPr="00944CCC">
              <w:rPr>
                <w:rStyle w:val="Hyperlink"/>
                <w:rFonts w:ascii="Open Sans" w:hAnsi="Open Sans" w:cs="Open Sans"/>
                <w:noProof/>
              </w:rPr>
              <w:t>Matching Requirements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_Toc171600532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69</w:t>
            </w:r>
            <w:r w:rsidR="00093147" w:rsidRPr="00944CCC">
              <w:rPr>
                <w:rStyle w:val="Hyperlink"/>
                <w:rFonts w:ascii="Open Sans" w:hAnsi="Open Sans" w:cs="Open Sans"/>
                <w:webHidden/>
              </w:rPr>
              <w:fldChar w:fldCharType="end"/>
            </w:r>
          </w:hyperlink>
        </w:p>
        <w:p w14:paraId="1AF5ECFE" w14:textId="097D53DD"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33" w:history="1">
            <w:r w:rsidR="00093147" w:rsidRPr="00944CCC">
              <w:rPr>
                <w:rStyle w:val="Hyperlink"/>
                <w:rFonts w:ascii="Open Sans" w:hAnsi="Open Sans" w:cs="Open Sans"/>
                <w:noProof/>
              </w:rPr>
              <w:t>Maintenance of Effort</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_Toc171600533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70</w:t>
            </w:r>
            <w:r w:rsidR="00093147" w:rsidRPr="00944CCC">
              <w:rPr>
                <w:rStyle w:val="Hyperlink"/>
                <w:rFonts w:ascii="Open Sans" w:hAnsi="Open Sans" w:cs="Open Sans"/>
                <w:webHidden/>
              </w:rPr>
              <w:fldChar w:fldCharType="end"/>
            </w:r>
          </w:hyperlink>
        </w:p>
        <w:p w14:paraId="67918046" w14:textId="29F3A66C"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34" w:history="1">
            <w:r w:rsidR="00093147" w:rsidRPr="00944CCC">
              <w:rPr>
                <w:rStyle w:val="Hyperlink"/>
                <w:rFonts w:ascii="Open Sans" w:hAnsi="Open Sans" w:cs="Open Sans"/>
                <w:noProof/>
              </w:rPr>
              <w:t>Supplement Not Supplant</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_Toc171600534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70</w:t>
            </w:r>
            <w:r w:rsidR="00093147" w:rsidRPr="00944CCC">
              <w:rPr>
                <w:rStyle w:val="Hyperlink"/>
                <w:rFonts w:ascii="Open Sans" w:hAnsi="Open Sans" w:cs="Open Sans"/>
                <w:webHidden/>
              </w:rPr>
              <w:fldChar w:fldCharType="end"/>
            </w:r>
          </w:hyperlink>
        </w:p>
        <w:p w14:paraId="53F2D984" w14:textId="1A0123EC"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35"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_Toc171600535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71</w:t>
            </w:r>
            <w:r w:rsidR="00093147" w:rsidRPr="00944CCC">
              <w:rPr>
                <w:rStyle w:val="Hyperlink"/>
                <w:rFonts w:ascii="Open Sans" w:hAnsi="Open Sans" w:cs="Open Sans"/>
                <w:webHidden/>
              </w:rPr>
              <w:fldChar w:fldCharType="end"/>
            </w:r>
          </w:hyperlink>
        </w:p>
        <w:p w14:paraId="268F7FDC" w14:textId="779A0140"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536" w:history="1">
            <w:r w:rsidR="00093147" w:rsidRPr="00944CCC">
              <w:rPr>
                <w:rStyle w:val="Hyperlink"/>
                <w:rFonts w:ascii="Open Sans" w:hAnsi="Open Sans" w:cs="Open Sans"/>
                <w:noProof/>
              </w:rPr>
              <w:t>Allowable Costs, Documentation, and Budget Monitoring</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_Toc171600536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72</w:t>
            </w:r>
            <w:r w:rsidR="00093147" w:rsidRPr="00944CCC">
              <w:rPr>
                <w:rStyle w:val="Hyperlink"/>
                <w:rFonts w:ascii="Open Sans" w:hAnsi="Open Sans" w:cs="Open Sans"/>
                <w:webHidden/>
              </w:rPr>
              <w:fldChar w:fldCharType="end"/>
            </w:r>
          </w:hyperlink>
        </w:p>
        <w:p w14:paraId="6A28EBC4" w14:textId="67AE4AD6"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37" w:history="1">
            <w:r w:rsidR="00093147" w:rsidRPr="00944CCC">
              <w:rPr>
                <w:rStyle w:val="Hyperlink"/>
                <w:rFonts w:ascii="Open Sans" w:hAnsi="Open Sans" w:cs="Open Sans"/>
                <w:noProof/>
              </w:rPr>
              <w:t>Cost Allowability Factors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_Toc171600537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72</w:t>
            </w:r>
            <w:r w:rsidR="00093147" w:rsidRPr="00944CCC">
              <w:rPr>
                <w:rStyle w:val="Hyperlink"/>
                <w:rFonts w:ascii="Open Sans" w:hAnsi="Open Sans" w:cs="Open Sans"/>
                <w:webHidden/>
              </w:rPr>
              <w:fldChar w:fldCharType="end"/>
            </w:r>
          </w:hyperlink>
        </w:p>
        <w:p w14:paraId="3EE9BE08" w14:textId="0D795738"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38" w:history="1">
            <w:r w:rsidR="00093147" w:rsidRPr="00944CCC">
              <w:rPr>
                <w:rStyle w:val="Hyperlink"/>
                <w:rFonts w:ascii="Open Sans" w:hAnsi="Open Sans" w:cs="Open Sans"/>
                <w:noProof/>
              </w:rPr>
              <w:t>Budget Monitoring</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_Toc171600538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73</w:t>
            </w:r>
            <w:r w:rsidR="00093147" w:rsidRPr="00944CCC">
              <w:rPr>
                <w:rStyle w:val="Hyperlink"/>
                <w:rFonts w:ascii="Open Sans" w:hAnsi="Open Sans" w:cs="Open Sans"/>
                <w:webHidden/>
              </w:rPr>
              <w:fldChar w:fldCharType="end"/>
            </w:r>
          </w:hyperlink>
        </w:p>
        <w:p w14:paraId="282C0E1A" w14:textId="2C4D9754"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39"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_Toc171600539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74</w:t>
            </w:r>
            <w:r w:rsidR="00093147" w:rsidRPr="00944CCC">
              <w:rPr>
                <w:rStyle w:val="Hyperlink"/>
                <w:rFonts w:ascii="Open Sans" w:hAnsi="Open Sans" w:cs="Open Sans"/>
                <w:webHidden/>
              </w:rPr>
              <w:fldChar w:fldCharType="end"/>
            </w:r>
          </w:hyperlink>
        </w:p>
        <w:p w14:paraId="3D25C314" w14:textId="1DD23581"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540" w:history="1">
            <w:r w:rsidR="00093147" w:rsidRPr="00944CCC">
              <w:rPr>
                <w:rStyle w:val="Hyperlink"/>
                <w:rFonts w:ascii="Open Sans" w:hAnsi="Open Sans" w:cs="Open Sans"/>
                <w:noProof/>
              </w:rPr>
              <w:t>The AEFLA Grant Timeline</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_Toc171600540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75</w:t>
            </w:r>
            <w:r w:rsidR="00093147" w:rsidRPr="00944CCC">
              <w:rPr>
                <w:rStyle w:val="Hyperlink"/>
                <w:rFonts w:ascii="Open Sans" w:hAnsi="Open Sans" w:cs="Open Sans"/>
                <w:webHidden/>
              </w:rPr>
              <w:fldChar w:fldCharType="end"/>
            </w:r>
          </w:hyperlink>
        </w:p>
        <w:p w14:paraId="6CB9A29D" w14:textId="66208DF9"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541" w:history="1">
            <w:r w:rsidR="00093147" w:rsidRPr="00944CCC">
              <w:rPr>
                <w:rStyle w:val="Hyperlink"/>
                <w:rFonts w:ascii="Open Sans" w:hAnsi="Open Sans" w:cs="Open Sans"/>
                <w:noProof/>
              </w:rPr>
              <w:t>Introduction and History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_Toc171600541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76</w:t>
            </w:r>
            <w:r w:rsidR="00093147" w:rsidRPr="00944CCC">
              <w:rPr>
                <w:rStyle w:val="Hyperlink"/>
                <w:rFonts w:ascii="Open Sans" w:hAnsi="Open Sans" w:cs="Open Sans"/>
                <w:webHidden/>
              </w:rPr>
              <w:fldChar w:fldCharType="end"/>
            </w:r>
          </w:hyperlink>
        </w:p>
        <w:p w14:paraId="28A064C3" w14:textId="107CE66D"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42" w:history="1">
            <w:r w:rsidR="00093147" w:rsidRPr="00944CCC">
              <w:rPr>
                <w:rStyle w:val="Hyperlink"/>
                <w:rFonts w:ascii="Open Sans" w:hAnsi="Open Sans" w:cs="Open Sans"/>
                <w:noProof/>
              </w:rPr>
              <w:t>Requirements of a National Reporting System</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_Toc171600542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76</w:t>
            </w:r>
            <w:r w:rsidR="00093147" w:rsidRPr="00944CCC">
              <w:rPr>
                <w:rStyle w:val="Hyperlink"/>
                <w:rFonts w:ascii="Open Sans" w:hAnsi="Open Sans" w:cs="Open Sans"/>
                <w:webHidden/>
              </w:rPr>
              <w:fldChar w:fldCharType="end"/>
            </w:r>
          </w:hyperlink>
        </w:p>
        <w:p w14:paraId="2C464CE8" w14:textId="7E6D5709"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43" w:history="1">
            <w:r w:rsidR="00093147" w:rsidRPr="00944CCC">
              <w:rPr>
                <w:rStyle w:val="Hyperlink"/>
                <w:rFonts w:ascii="Open Sans" w:hAnsi="Open Sans" w:cs="Open Sans"/>
                <w:noProof/>
              </w:rPr>
              <w:t>History of the NRS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_Toc171600543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76</w:t>
            </w:r>
            <w:r w:rsidR="00093147" w:rsidRPr="00944CCC">
              <w:rPr>
                <w:rStyle w:val="Hyperlink"/>
                <w:rFonts w:ascii="Open Sans" w:hAnsi="Open Sans" w:cs="Open Sans"/>
                <w:webHidden/>
              </w:rPr>
              <w:fldChar w:fldCharType="end"/>
            </w:r>
          </w:hyperlink>
        </w:p>
        <w:p w14:paraId="20011F60" w14:textId="49B73A16"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44"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_Toc171600544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77</w:t>
            </w:r>
            <w:r w:rsidR="00093147" w:rsidRPr="00944CCC">
              <w:rPr>
                <w:rStyle w:val="Hyperlink"/>
                <w:rFonts w:ascii="Open Sans" w:hAnsi="Open Sans" w:cs="Open Sans"/>
                <w:webHidden/>
              </w:rPr>
              <w:fldChar w:fldCharType="end"/>
            </w:r>
          </w:hyperlink>
        </w:p>
        <w:p w14:paraId="661D571A" w14:textId="523E8CDC"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545" w:history="1">
            <w:r w:rsidR="00093147" w:rsidRPr="00944CCC">
              <w:rPr>
                <w:rStyle w:val="Hyperlink"/>
                <w:rFonts w:ascii="Open Sans" w:hAnsi="Open Sans" w:cs="Open Sans"/>
                <w:noProof/>
              </w:rPr>
              <w:t>Authorization, Purpose, and Stakeholders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_Toc171600545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78</w:t>
            </w:r>
            <w:r w:rsidR="00093147" w:rsidRPr="00944CCC">
              <w:rPr>
                <w:rStyle w:val="Hyperlink"/>
                <w:rFonts w:ascii="Open Sans" w:hAnsi="Open Sans" w:cs="Open Sans"/>
                <w:webHidden/>
              </w:rPr>
              <w:fldChar w:fldCharType="end"/>
            </w:r>
          </w:hyperlink>
        </w:p>
        <w:p w14:paraId="0EA36740" w14:textId="26ED28AF"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46" w:history="1">
            <w:r w:rsidR="00093147" w:rsidRPr="00944CCC">
              <w:rPr>
                <w:rStyle w:val="Hyperlink"/>
                <w:rFonts w:ascii="Open Sans" w:hAnsi="Open Sans" w:cs="Open Sans"/>
                <w:noProof/>
              </w:rPr>
              <w:t>How Do We Use NRS Data?</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_Toc171600546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78</w:t>
            </w:r>
            <w:r w:rsidR="00093147" w:rsidRPr="00944CCC">
              <w:rPr>
                <w:rStyle w:val="Hyperlink"/>
                <w:rFonts w:ascii="Open Sans" w:hAnsi="Open Sans" w:cs="Open Sans"/>
                <w:webHidden/>
              </w:rPr>
              <w:fldChar w:fldCharType="end"/>
            </w:r>
          </w:hyperlink>
        </w:p>
        <w:p w14:paraId="2DBCBDD2" w14:textId="0B979D7D"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47" w:history="1">
            <w:r w:rsidR="00093147" w:rsidRPr="00944CCC">
              <w:rPr>
                <w:rStyle w:val="Hyperlink"/>
                <w:rFonts w:ascii="Open Sans" w:hAnsi="Open Sans" w:cs="Open Sans"/>
                <w:noProof/>
              </w:rPr>
              <w:t>Primary Indicators of Performance</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_Toc171600547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79</w:t>
            </w:r>
            <w:r w:rsidR="00093147" w:rsidRPr="00944CCC">
              <w:rPr>
                <w:rStyle w:val="Hyperlink"/>
                <w:rFonts w:ascii="Open Sans" w:hAnsi="Open Sans" w:cs="Open Sans"/>
                <w:webHidden/>
              </w:rPr>
              <w:fldChar w:fldCharType="end"/>
            </w:r>
          </w:hyperlink>
        </w:p>
        <w:p w14:paraId="3CCAE447" w14:textId="081820FA"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48" w:history="1">
            <w:r w:rsidR="00093147" w:rsidRPr="00944CCC">
              <w:rPr>
                <w:rStyle w:val="Hyperlink"/>
                <w:rFonts w:ascii="Open Sans" w:hAnsi="Open Sans" w:cs="Open Sans"/>
                <w:noProof/>
              </w:rPr>
              <w:t>WIOA Performance Data Reporting</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_Toc171600548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81</w:t>
            </w:r>
            <w:r w:rsidR="00093147" w:rsidRPr="00944CCC">
              <w:rPr>
                <w:rStyle w:val="Hyperlink"/>
                <w:rFonts w:ascii="Open Sans" w:hAnsi="Open Sans" w:cs="Open Sans"/>
                <w:webHidden/>
              </w:rPr>
              <w:fldChar w:fldCharType="end"/>
            </w:r>
          </w:hyperlink>
        </w:p>
        <w:p w14:paraId="4EA43A1B" w14:textId="0A051CCD"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49" w:history="1">
            <w:r w:rsidR="00093147" w:rsidRPr="00944CCC">
              <w:rPr>
                <w:rStyle w:val="Hyperlink"/>
                <w:rFonts w:ascii="Open Sans" w:hAnsi="Open Sans" w:cs="Open Sans"/>
                <w:noProof/>
              </w:rPr>
              <w:t>The Statistical Adjustment Model</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_Toc171600549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81</w:t>
            </w:r>
            <w:r w:rsidR="00093147" w:rsidRPr="00944CCC">
              <w:rPr>
                <w:rStyle w:val="Hyperlink"/>
                <w:rFonts w:ascii="Open Sans" w:hAnsi="Open Sans" w:cs="Open Sans"/>
                <w:webHidden/>
              </w:rPr>
              <w:fldChar w:fldCharType="end"/>
            </w:r>
          </w:hyperlink>
        </w:p>
        <w:p w14:paraId="0D55EE23" w14:textId="668AA5C2"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50" w:history="1">
            <w:r w:rsidR="00093147" w:rsidRPr="00944CCC">
              <w:rPr>
                <w:rStyle w:val="Hyperlink"/>
                <w:rFonts w:ascii="Open Sans" w:hAnsi="Open Sans" w:cs="Open Sans"/>
                <w:noProof/>
              </w:rPr>
              <w:t>Keys to a Strong Accountability System</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_Toc171600550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82</w:t>
            </w:r>
            <w:r w:rsidR="00093147" w:rsidRPr="00944CCC">
              <w:rPr>
                <w:rStyle w:val="Hyperlink"/>
                <w:rFonts w:ascii="Open Sans" w:hAnsi="Open Sans" w:cs="Open Sans"/>
                <w:webHidden/>
              </w:rPr>
              <w:fldChar w:fldCharType="end"/>
            </w:r>
          </w:hyperlink>
        </w:p>
        <w:p w14:paraId="349D5D67" w14:textId="7E51DAF1"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51" w:history="1">
            <w:r w:rsidR="00093147" w:rsidRPr="00944CCC">
              <w:rPr>
                <w:rStyle w:val="Hyperlink"/>
                <w:rFonts w:ascii="Open Sans" w:hAnsi="Open Sans" w:cs="Open Sans"/>
                <w:noProof/>
              </w:rPr>
              <w:t>Important Resources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_Toc171600551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82</w:t>
            </w:r>
            <w:r w:rsidR="00093147" w:rsidRPr="00944CCC">
              <w:rPr>
                <w:rStyle w:val="Hyperlink"/>
                <w:rFonts w:ascii="Open Sans" w:hAnsi="Open Sans" w:cs="Open Sans"/>
                <w:webHidden/>
              </w:rPr>
              <w:fldChar w:fldCharType="end"/>
            </w:r>
          </w:hyperlink>
        </w:p>
        <w:p w14:paraId="14150419" w14:textId="081E3174"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552" w:history="1">
            <w:r w:rsidR="00093147" w:rsidRPr="00944CCC">
              <w:rPr>
                <w:rStyle w:val="Hyperlink"/>
                <w:rFonts w:ascii="Open Sans" w:hAnsi="Open Sans" w:cs="Open Sans"/>
                <w:noProof/>
              </w:rPr>
              <w:t>WIOA Partnerships and the American Job Center Network</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_Toc171600552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84</w:t>
            </w:r>
            <w:r w:rsidR="00093147" w:rsidRPr="00944CCC">
              <w:rPr>
                <w:rStyle w:val="Hyperlink"/>
                <w:rFonts w:ascii="Open Sans" w:hAnsi="Open Sans" w:cs="Open Sans"/>
                <w:webHidden/>
              </w:rPr>
              <w:fldChar w:fldCharType="end"/>
            </w:r>
          </w:hyperlink>
        </w:p>
        <w:p w14:paraId="054AF818" w14:textId="25697266"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53" w:history="1">
            <w:r w:rsidR="00093147" w:rsidRPr="00944CCC">
              <w:rPr>
                <w:rStyle w:val="Hyperlink"/>
                <w:rFonts w:ascii="Open Sans" w:hAnsi="Open Sans" w:cs="Open Sans"/>
                <w:noProof/>
              </w:rPr>
              <w:t>What is the American Job Center Network?</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_Toc171600553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84</w:t>
            </w:r>
            <w:r w:rsidR="00093147" w:rsidRPr="00944CCC">
              <w:rPr>
                <w:rStyle w:val="Hyperlink"/>
                <w:rFonts w:ascii="Open Sans" w:hAnsi="Open Sans" w:cs="Open Sans"/>
                <w:webHidden/>
              </w:rPr>
              <w:fldChar w:fldCharType="end"/>
            </w:r>
          </w:hyperlink>
        </w:p>
        <w:p w14:paraId="281C6F5C" w14:textId="0343B7F6"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54" w:history="1">
            <w:r w:rsidR="00093147" w:rsidRPr="00944CCC">
              <w:rPr>
                <w:rStyle w:val="Hyperlink"/>
                <w:rFonts w:ascii="Open Sans" w:hAnsi="Open Sans" w:cs="Open Sans"/>
                <w:noProof/>
              </w:rPr>
              <w:t>Statutory Requirements for One-stop Centers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_Toc171600554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85</w:t>
            </w:r>
            <w:r w:rsidR="00093147" w:rsidRPr="00944CCC">
              <w:rPr>
                <w:rStyle w:val="Hyperlink"/>
                <w:rFonts w:ascii="Open Sans" w:hAnsi="Open Sans" w:cs="Open Sans"/>
                <w:webHidden/>
              </w:rPr>
              <w:fldChar w:fldCharType="end"/>
            </w:r>
          </w:hyperlink>
        </w:p>
        <w:p w14:paraId="65E8F090" w14:textId="00D2CEE8"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55" w:history="1">
            <w:r w:rsidR="00093147" w:rsidRPr="00944CCC">
              <w:rPr>
                <w:rStyle w:val="Hyperlink"/>
                <w:rFonts w:ascii="Open Sans" w:hAnsi="Open Sans" w:cs="Open Sans"/>
                <w:noProof/>
              </w:rPr>
              <w:t>Career and Training Services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_Toc171600555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85</w:t>
            </w:r>
            <w:r w:rsidR="00093147" w:rsidRPr="00944CCC">
              <w:rPr>
                <w:rStyle w:val="Hyperlink"/>
                <w:rFonts w:ascii="Open Sans" w:hAnsi="Open Sans" w:cs="Open Sans"/>
                <w:webHidden/>
              </w:rPr>
              <w:fldChar w:fldCharType="end"/>
            </w:r>
          </w:hyperlink>
        </w:p>
        <w:p w14:paraId="3461C3D7" w14:textId="44844613"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56" w:history="1">
            <w:r w:rsidR="00093147" w:rsidRPr="00944CCC">
              <w:rPr>
                <w:rStyle w:val="Hyperlink"/>
                <w:rFonts w:ascii="Open Sans" w:hAnsi="Open Sans" w:cs="Open Sans"/>
                <w:noProof/>
              </w:rPr>
              <w:t>Responsibilities of the State Eligible Agency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_Toc171600556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86</w:t>
            </w:r>
            <w:r w:rsidR="00093147" w:rsidRPr="00944CCC">
              <w:rPr>
                <w:rStyle w:val="Hyperlink"/>
                <w:rFonts w:ascii="Open Sans" w:hAnsi="Open Sans" w:cs="Open Sans"/>
                <w:webHidden/>
              </w:rPr>
              <w:fldChar w:fldCharType="end"/>
            </w:r>
          </w:hyperlink>
        </w:p>
        <w:p w14:paraId="25A2EECA" w14:textId="0D34BCA6"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57"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_Toc171600557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88</w:t>
            </w:r>
            <w:r w:rsidR="00093147" w:rsidRPr="00944CCC">
              <w:rPr>
                <w:rStyle w:val="Hyperlink"/>
                <w:rFonts w:ascii="Open Sans" w:hAnsi="Open Sans" w:cs="Open Sans"/>
                <w:webHidden/>
              </w:rPr>
              <w:fldChar w:fldCharType="end"/>
            </w:r>
          </w:hyperlink>
        </w:p>
        <w:p w14:paraId="76AF937F" w14:textId="34391E62" w:rsidR="00093147" w:rsidRPr="00944CCC" w:rsidRDefault="002B731F" w:rsidP="00411D84">
          <w:pPr>
            <w:pStyle w:val="TOC2"/>
            <w:tabs>
              <w:tab w:val="right" w:pos="9350"/>
            </w:tabs>
            <w:spacing w:line="360" w:lineRule="auto"/>
            <w:ind w:left="360" w:hanging="180"/>
            <w:contextualSpacing/>
            <w:rPr>
              <w:rStyle w:val="Hyperlink"/>
              <w:rFonts w:ascii="Open Sans" w:hAnsi="Open Sans" w:cs="Open Sans"/>
            </w:rPr>
          </w:pPr>
          <w:hyperlink w:anchor="_Toc171600558" w:history="1">
            <w:r w:rsidR="00093147" w:rsidRPr="00944CCC">
              <w:rPr>
                <w:rStyle w:val="Hyperlink"/>
                <w:rFonts w:ascii="Open Sans" w:hAnsi="Open Sans" w:cs="Open Sans"/>
                <w:noProof/>
              </w:rPr>
              <w:t>Are You Ready to Lead?</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_Toc171600558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90</w:t>
            </w:r>
            <w:r w:rsidR="00093147" w:rsidRPr="00944CCC">
              <w:rPr>
                <w:rStyle w:val="Hyperlink"/>
                <w:rFonts w:ascii="Open Sans" w:hAnsi="Open Sans" w:cs="Open Sans"/>
                <w:webHidden/>
              </w:rPr>
              <w:fldChar w:fldCharType="end"/>
            </w:r>
          </w:hyperlink>
        </w:p>
        <w:p w14:paraId="48BA605A" w14:textId="62CCD7E3"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59" w:history="1">
            <w:r w:rsidR="00093147" w:rsidRPr="00944CCC">
              <w:rPr>
                <w:rStyle w:val="Hyperlink"/>
                <w:rFonts w:ascii="Open Sans" w:hAnsi="Open Sans" w:cs="Open Sans"/>
                <w:noProof/>
              </w:rPr>
              <w:t>History of State Leadership Funds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_Toc171600559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90</w:t>
            </w:r>
            <w:r w:rsidR="00093147" w:rsidRPr="00944CCC">
              <w:rPr>
                <w:rStyle w:val="Hyperlink"/>
                <w:rFonts w:ascii="Open Sans" w:hAnsi="Open Sans" w:cs="Open Sans"/>
                <w:webHidden/>
              </w:rPr>
              <w:fldChar w:fldCharType="end"/>
            </w:r>
          </w:hyperlink>
        </w:p>
        <w:p w14:paraId="310F4838" w14:textId="3F062B8F"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60" w:history="1">
            <w:r w:rsidR="00093147" w:rsidRPr="00944CCC">
              <w:rPr>
                <w:rStyle w:val="Hyperlink"/>
                <w:rFonts w:ascii="Open Sans" w:hAnsi="Open Sans" w:cs="Open Sans"/>
                <w:noProof/>
              </w:rPr>
              <w:t>The Four Required Activities and Permissible Activities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_Toc171600560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91</w:t>
            </w:r>
            <w:r w:rsidR="00093147" w:rsidRPr="00944CCC">
              <w:rPr>
                <w:rStyle w:val="Hyperlink"/>
                <w:rFonts w:ascii="Open Sans" w:hAnsi="Open Sans" w:cs="Open Sans"/>
                <w:webHidden/>
              </w:rPr>
              <w:fldChar w:fldCharType="end"/>
            </w:r>
          </w:hyperlink>
        </w:p>
        <w:p w14:paraId="325258EC" w14:textId="333E729E"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61" w:history="1">
            <w:r w:rsidR="00093147" w:rsidRPr="00944CCC">
              <w:rPr>
                <w:rStyle w:val="Hyperlink"/>
                <w:rFonts w:ascii="Open Sans" w:hAnsi="Open Sans" w:cs="Open Sans"/>
                <w:noProof/>
              </w:rPr>
              <w:t>Financial Considerations</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_Toc171600561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92</w:t>
            </w:r>
            <w:r w:rsidR="00093147" w:rsidRPr="00944CCC">
              <w:rPr>
                <w:rStyle w:val="Hyperlink"/>
                <w:rFonts w:ascii="Open Sans" w:hAnsi="Open Sans" w:cs="Open Sans"/>
                <w:webHidden/>
              </w:rPr>
              <w:fldChar w:fldCharType="end"/>
            </w:r>
          </w:hyperlink>
        </w:p>
        <w:p w14:paraId="1C2A21A4" w14:textId="74E0AD68" w:rsidR="00093147" w:rsidRPr="00944CCC" w:rsidRDefault="002B731F" w:rsidP="00411D84">
          <w:pPr>
            <w:pStyle w:val="TOC3"/>
            <w:tabs>
              <w:tab w:val="right" w:pos="9350"/>
            </w:tabs>
            <w:spacing w:line="360" w:lineRule="auto"/>
            <w:ind w:left="810" w:hanging="360"/>
            <w:contextualSpacing/>
            <w:rPr>
              <w:rStyle w:val="Hyperlink"/>
              <w:rFonts w:ascii="Open Sans" w:hAnsi="Open Sans" w:cs="Open Sans"/>
            </w:rPr>
          </w:pPr>
          <w:hyperlink w:anchor="_Toc171600562" w:history="1">
            <w:r w:rsidR="00093147" w:rsidRPr="00944CCC">
              <w:rPr>
                <w:rStyle w:val="Hyperlink"/>
                <w:rFonts w:ascii="Open Sans" w:hAnsi="Open Sans" w:cs="Open Sans"/>
                <w:noProof/>
              </w:rPr>
              <w:t>Summary</w:t>
            </w:r>
            <w:r w:rsidR="00093147" w:rsidRPr="00944CCC">
              <w:rPr>
                <w:rStyle w:val="Hyperlink"/>
                <w:rFonts w:ascii="Open Sans" w:hAnsi="Open Sans" w:cs="Open Sans"/>
                <w:webHidden/>
              </w:rPr>
              <w:tab/>
            </w:r>
            <w:r w:rsidR="00093147" w:rsidRPr="00944CCC">
              <w:rPr>
                <w:rStyle w:val="Hyperlink"/>
                <w:rFonts w:ascii="Open Sans" w:hAnsi="Open Sans" w:cs="Open Sans"/>
                <w:webHidden/>
              </w:rPr>
              <w:fldChar w:fldCharType="begin"/>
            </w:r>
            <w:r w:rsidR="00093147" w:rsidRPr="00944CCC">
              <w:rPr>
                <w:rStyle w:val="Hyperlink"/>
                <w:rFonts w:ascii="Open Sans" w:hAnsi="Open Sans" w:cs="Open Sans"/>
                <w:webHidden/>
              </w:rPr>
              <w:instrText xml:space="preserve"> PAGEREF _Toc171600562 \h </w:instrText>
            </w:r>
            <w:r w:rsidR="00093147" w:rsidRPr="00944CCC">
              <w:rPr>
                <w:rStyle w:val="Hyperlink"/>
                <w:rFonts w:ascii="Open Sans" w:hAnsi="Open Sans" w:cs="Open Sans"/>
                <w:webHidden/>
              </w:rPr>
            </w:r>
            <w:r w:rsidR="00093147" w:rsidRPr="00944CCC">
              <w:rPr>
                <w:rStyle w:val="Hyperlink"/>
                <w:rFonts w:ascii="Open Sans" w:hAnsi="Open Sans" w:cs="Open Sans"/>
                <w:webHidden/>
              </w:rPr>
              <w:fldChar w:fldCharType="separate"/>
            </w:r>
            <w:r w:rsidR="00093147" w:rsidRPr="00944CCC">
              <w:rPr>
                <w:rStyle w:val="Hyperlink"/>
                <w:rFonts w:ascii="Open Sans" w:hAnsi="Open Sans" w:cs="Open Sans"/>
                <w:webHidden/>
              </w:rPr>
              <w:t>93</w:t>
            </w:r>
            <w:r w:rsidR="00093147" w:rsidRPr="00944CCC">
              <w:rPr>
                <w:rStyle w:val="Hyperlink"/>
                <w:rFonts w:ascii="Open Sans" w:hAnsi="Open Sans" w:cs="Open Sans"/>
                <w:webHidden/>
              </w:rPr>
              <w:fldChar w:fldCharType="end"/>
            </w:r>
          </w:hyperlink>
        </w:p>
        <w:p w14:paraId="3E28233A" w14:textId="6A696AB6" w:rsidR="00093147" w:rsidRPr="00944CCC" w:rsidRDefault="00093147" w:rsidP="00411D84">
          <w:pPr>
            <w:spacing w:line="360" w:lineRule="auto"/>
            <w:rPr>
              <w:rFonts w:ascii="Open Sans" w:hAnsi="Open Sans" w:cs="Open Sans"/>
            </w:rPr>
          </w:pPr>
          <w:r w:rsidRPr="00944CCC">
            <w:rPr>
              <w:rFonts w:ascii="Open Sans" w:hAnsi="Open Sans" w:cs="Open Sans"/>
              <w:b/>
              <w:bCs/>
              <w:noProof/>
            </w:rPr>
            <w:fldChar w:fldCharType="end"/>
          </w:r>
        </w:p>
      </w:sdtContent>
    </w:sdt>
    <w:p w14:paraId="52CE3DE0" w14:textId="001FA526" w:rsidR="00D47BA9" w:rsidRPr="00944CCC" w:rsidRDefault="00D47BA9" w:rsidP="0056051A">
      <w:pPr>
        <w:pStyle w:val="Heading2"/>
        <w:rPr>
          <w:rFonts w:ascii="Open Sans" w:hAnsi="Open Sans" w:cs="Open Sans"/>
        </w:rPr>
        <w:sectPr w:rsidR="00D47BA9" w:rsidRPr="00944CCC">
          <w:pgSz w:w="12240" w:h="15840"/>
          <w:pgMar w:top="1440" w:right="1440" w:bottom="1440" w:left="1440" w:header="720" w:footer="720" w:gutter="0"/>
          <w:cols w:space="720"/>
          <w:docGrid w:linePitch="360"/>
        </w:sectPr>
      </w:pPr>
    </w:p>
    <w:p w14:paraId="4D28A872" w14:textId="77777777" w:rsidR="00660262" w:rsidRPr="00944CCC" w:rsidRDefault="00660262" w:rsidP="0056051A">
      <w:pPr>
        <w:pStyle w:val="Heading2"/>
        <w:rPr>
          <w:rFonts w:ascii="Open Sans" w:hAnsi="Open Sans" w:cs="Open Sans"/>
          <w:color w:val="032E53"/>
        </w:rPr>
      </w:pPr>
      <w:bookmarkStart w:id="3" w:name="_Toc171600458"/>
      <w:r w:rsidRPr="00944CCC">
        <w:rPr>
          <w:rFonts w:ascii="Open Sans" w:hAnsi="Open Sans" w:cs="Open Sans"/>
          <w:color w:val="032E53"/>
        </w:rPr>
        <w:lastRenderedPageBreak/>
        <w:t>History of the Workforce Innovation and Opportunity Act</w:t>
      </w:r>
      <w:bookmarkEnd w:id="3"/>
      <w:bookmarkEnd w:id="2"/>
    </w:p>
    <w:p w14:paraId="2BD2F0BC" w14:textId="77777777" w:rsidR="00660262" w:rsidRPr="00944CCC" w:rsidRDefault="00660262" w:rsidP="0056051A">
      <w:pPr>
        <w:rPr>
          <w:rFonts w:ascii="Open Sans" w:hAnsi="Open Sans" w:cs="Open Sans"/>
          <w:color w:val="auto"/>
          <w:lang w:eastAsia="ja-JP"/>
        </w:rPr>
      </w:pPr>
      <w:r w:rsidRPr="00944CCC">
        <w:rPr>
          <w:rFonts w:ascii="Open Sans" w:hAnsi="Open Sans" w:cs="Open Sans"/>
        </w:rPr>
        <w:t xml:space="preserve">In your role as a </w:t>
      </w:r>
      <w:proofErr w:type="gramStart"/>
      <w:r w:rsidRPr="00944CCC">
        <w:rPr>
          <w:rFonts w:ascii="Open Sans" w:hAnsi="Open Sans" w:cs="Open Sans"/>
        </w:rPr>
        <w:t>State</w:t>
      </w:r>
      <w:proofErr w:type="gramEnd"/>
      <w:r w:rsidRPr="00944CCC">
        <w:rPr>
          <w:rFonts w:ascii="Open Sans" w:hAnsi="Open Sans" w:cs="Open Sans"/>
        </w:rPr>
        <w:t xml:space="preserve"> director, you will become very familiar with the Workforce Innovation and Opportunity Act, or WIOA. We’ve created a</w:t>
      </w:r>
      <w:r w:rsidRPr="00944CCC">
        <w:rPr>
          <w:rFonts w:ascii="Open Sans" w:hAnsi="Open Sans" w:cs="Open Sans"/>
          <w:color w:val="auto"/>
          <w:lang w:eastAsia="ja-JP"/>
        </w:rPr>
        <w:t xml:space="preserve"> series of videos to introduce you to WIOA and help you gain an understanding of the statute, regulations, and guidance that you will need to manage your Adult Education and Family Literacy Act, or AEFLA, grant. </w:t>
      </w:r>
    </w:p>
    <w:p w14:paraId="566A358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By watching these videos, you will begin to:</w:t>
      </w:r>
    </w:p>
    <w:p w14:paraId="4394AF6C" w14:textId="2F493C18" w:rsidR="00660262" w:rsidRPr="00944CCC" w:rsidRDefault="00660262" w:rsidP="0056051A">
      <w:pPr>
        <w:pStyle w:val="ListParagraph"/>
        <w:numPr>
          <w:ilvl w:val="0"/>
          <w:numId w:val="1"/>
        </w:numPr>
        <w:rPr>
          <w:rFonts w:ascii="Open Sans" w:hAnsi="Open Sans" w:cs="Open Sans"/>
          <w:lang w:eastAsia="ja-JP"/>
        </w:rPr>
      </w:pPr>
      <w:r w:rsidRPr="00944CCC">
        <w:rPr>
          <w:rFonts w:ascii="Open Sans" w:hAnsi="Open Sans" w:cs="Open Sans"/>
          <w:lang w:eastAsia="ja-JP"/>
        </w:rPr>
        <w:t>Gain a foundational knowledge of the purpose of the Workforce Innovation and Opportunity Act, including title II</w:t>
      </w:r>
      <w:r w:rsidR="008A2D6F" w:rsidRPr="00944CCC">
        <w:rPr>
          <w:rFonts w:ascii="Open Sans" w:hAnsi="Open Sans" w:cs="Open Sans"/>
          <w:lang w:eastAsia="ja-JP"/>
        </w:rPr>
        <w:t>,</w:t>
      </w:r>
    </w:p>
    <w:p w14:paraId="3A1A963B" w14:textId="77777777" w:rsidR="00660262" w:rsidRPr="00944CCC" w:rsidRDefault="00660262" w:rsidP="0056051A">
      <w:pPr>
        <w:pStyle w:val="ListParagraph"/>
        <w:numPr>
          <w:ilvl w:val="0"/>
          <w:numId w:val="1"/>
        </w:numPr>
        <w:rPr>
          <w:rFonts w:ascii="Open Sans" w:hAnsi="Open Sans" w:cs="Open Sans"/>
          <w:lang w:eastAsia="ja-JP"/>
        </w:rPr>
      </w:pPr>
      <w:r w:rsidRPr="00944CCC">
        <w:rPr>
          <w:rFonts w:ascii="Open Sans" w:hAnsi="Open Sans" w:cs="Open Sans"/>
          <w:lang w:eastAsia="ja-JP"/>
        </w:rPr>
        <w:t>You will acquire an understanding of the structure and order of the statute, the regulations, and guidance, and</w:t>
      </w:r>
    </w:p>
    <w:p w14:paraId="290220AA" w14:textId="133B7D5B" w:rsidR="00660262" w:rsidRPr="00944CCC" w:rsidRDefault="00660262" w:rsidP="0056051A">
      <w:pPr>
        <w:pStyle w:val="ListParagraph"/>
        <w:numPr>
          <w:ilvl w:val="0"/>
          <w:numId w:val="1"/>
        </w:numPr>
        <w:rPr>
          <w:rFonts w:ascii="Open Sans" w:hAnsi="Open Sans" w:cs="Open Sans"/>
          <w:lang w:eastAsia="ja-JP"/>
        </w:rPr>
      </w:pPr>
      <w:r w:rsidRPr="00944CCC">
        <w:rPr>
          <w:rFonts w:ascii="Open Sans" w:hAnsi="Open Sans" w:cs="Open Sans"/>
          <w:lang w:eastAsia="ja-JP"/>
        </w:rPr>
        <w:t>You will learn about the legal resources that are available to you as you implement WIOA and the AEFLA program</w:t>
      </w:r>
    </w:p>
    <w:p w14:paraId="51ABDB52" w14:textId="6C44BF3B" w:rsidR="00660262" w:rsidRPr="00944CCC" w:rsidRDefault="00660262" w:rsidP="0056051A">
      <w:pPr>
        <w:rPr>
          <w:rFonts w:ascii="Open Sans" w:hAnsi="Open Sans" w:cs="Open Sans"/>
          <w:lang w:eastAsia="ja-JP"/>
        </w:rPr>
      </w:pPr>
      <w:proofErr w:type="gramStart"/>
      <w:r w:rsidRPr="00944CCC">
        <w:rPr>
          <w:rFonts w:ascii="Open Sans" w:hAnsi="Open Sans" w:cs="Open Sans"/>
          <w:lang w:eastAsia="ja-JP"/>
        </w:rPr>
        <w:t>So</w:t>
      </w:r>
      <w:proofErr w:type="gramEnd"/>
      <w:r w:rsidRPr="00944CCC">
        <w:rPr>
          <w:rFonts w:ascii="Open Sans" w:hAnsi="Open Sans" w:cs="Open Sans"/>
          <w:lang w:eastAsia="ja-JP"/>
        </w:rPr>
        <w:t xml:space="preserve"> think of these videos as the foundation to getting started as a new State director. In this initial video, we’ll </w:t>
      </w:r>
      <w:proofErr w:type="gramStart"/>
      <w:r w:rsidRPr="00944CCC">
        <w:rPr>
          <w:rFonts w:ascii="Open Sans" w:hAnsi="Open Sans" w:cs="Open Sans"/>
          <w:lang w:eastAsia="ja-JP"/>
        </w:rPr>
        <w:t>take a look</w:t>
      </w:r>
      <w:proofErr w:type="gramEnd"/>
      <w:r w:rsidRPr="00944CCC">
        <w:rPr>
          <w:rFonts w:ascii="Open Sans" w:hAnsi="Open Sans" w:cs="Open Sans"/>
          <w:lang w:eastAsia="ja-JP"/>
        </w:rPr>
        <w:t xml:space="preserve"> at the history of WIOA, and in other videos, we’ll go through how WIOA is structured as well as important definitions and regulations that you’ll need to know about. </w:t>
      </w:r>
    </w:p>
    <w:p w14:paraId="4909B028" w14:textId="77777777" w:rsidR="00660262" w:rsidRPr="00944CCC" w:rsidRDefault="00660262" w:rsidP="00944CCC">
      <w:pPr>
        <w:pStyle w:val="Heading3"/>
      </w:pPr>
      <w:bookmarkStart w:id="4" w:name="_Toc163979979"/>
      <w:bookmarkStart w:id="5" w:name="_Toc171600459"/>
      <w:r w:rsidRPr="00944CCC">
        <w:t>The History of WIOA</w:t>
      </w:r>
      <w:bookmarkEnd w:id="4"/>
      <w:bookmarkEnd w:id="5"/>
    </w:p>
    <w:p w14:paraId="13B7C06E" w14:textId="24693CF6" w:rsidR="00660262" w:rsidRPr="00944CCC" w:rsidRDefault="00660262" w:rsidP="0056051A">
      <w:pPr>
        <w:rPr>
          <w:rFonts w:ascii="Open Sans" w:hAnsi="Open Sans" w:cs="Open Sans"/>
          <w:lang w:eastAsia="ja-JP"/>
        </w:rPr>
      </w:pPr>
      <w:proofErr w:type="gramStart"/>
      <w:r w:rsidRPr="00944CCC">
        <w:rPr>
          <w:rFonts w:ascii="Open Sans" w:hAnsi="Open Sans" w:cs="Open Sans"/>
          <w:lang w:eastAsia="ja-JP"/>
        </w:rPr>
        <w:t>So</w:t>
      </w:r>
      <w:proofErr w:type="gramEnd"/>
      <w:r w:rsidRPr="00944CCC">
        <w:rPr>
          <w:rFonts w:ascii="Open Sans" w:hAnsi="Open Sans" w:cs="Open Sans"/>
          <w:lang w:eastAsia="ja-JP"/>
        </w:rPr>
        <w:t xml:space="preserve"> let’s get started by taking a look at how the Workforce Innovation and Opportunity Act, or WIOA came to be and what it’s comprised of.</w:t>
      </w:r>
    </w:p>
    <w:p w14:paraId="0B5E03E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WIOA was signed into law by President Obama on July 22nd, 2014. The preceding law was the Workforce Investment Act, or WIA, which was signed in 1998 and had been extended annually for 10 years prior to WIOA being signed by President Obama. </w:t>
      </w:r>
    </w:p>
    <w:p w14:paraId="30C82A0E" w14:textId="65E78034"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Prior to WIOA, under WIA workforce education and training programs were much more siloed in their respective federal agencies. WIOA principles strongly encourage much greater coordination amongst the federal agencies that provide workforce training and education programs. While this is true at the federal level, we realize that it's also true at the State and local levels. </w:t>
      </w:r>
      <w:proofErr w:type="gramStart"/>
      <w:r w:rsidRPr="00944CCC">
        <w:rPr>
          <w:rFonts w:ascii="Open Sans" w:hAnsi="Open Sans" w:cs="Open Sans"/>
          <w:lang w:eastAsia="ja-JP"/>
        </w:rPr>
        <w:t>So</w:t>
      </w:r>
      <w:proofErr w:type="gramEnd"/>
      <w:r w:rsidRPr="00944CCC">
        <w:rPr>
          <w:rFonts w:ascii="Open Sans" w:hAnsi="Open Sans" w:cs="Open Sans"/>
          <w:lang w:eastAsia="ja-JP"/>
        </w:rPr>
        <w:t xml:space="preserve"> we're all in the same boat in terms of learning how to work in a much more coordinated and cooperative arrangement under WIOA.</w:t>
      </w:r>
    </w:p>
    <w:p w14:paraId="0A0227F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 key component of WIOA is alignment, particularly in ensuring that training for job seekers aligns with the workforce needs. For those of you who worked under WIA, you probably recognize that there's a much stronger accountability component to WIOA. For those of you who didn't work under WIA, the history lesson here is that the accountability component of WIOA is significantly stronger than it was under </w:t>
      </w:r>
      <w:r w:rsidRPr="00944CCC">
        <w:rPr>
          <w:rFonts w:ascii="Open Sans" w:hAnsi="Open Sans" w:cs="Open Sans"/>
          <w:lang w:eastAsia="ja-JP"/>
        </w:rPr>
        <w:lastRenderedPageBreak/>
        <w:t>WIA. Another change is that the “I” in WIOA is for innovation, which speaks to this statute fostering innovation and supporting activities in this area.</w:t>
      </w:r>
    </w:p>
    <w:p w14:paraId="0FC3F02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administration of WIOA is a significant undertaking. WIOA is jointly administered by the U.S. Department of Education, ED, and the U.S. Department of Labor, DOL. We work very closely with our partners at the Department of Labor on State plan review processes, performance accountability issues, the one-stop delivery system, shared technical assistance, and shared monitoring.</w:t>
      </w:r>
    </w:p>
    <w:p w14:paraId="6AE084D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There are six core programs in WIOA. Three of them are authorized under title I of WOIA and are administered by the Department of Labor. Those are:</w:t>
      </w:r>
    </w:p>
    <w:p w14:paraId="42563927" w14:textId="77777777" w:rsidR="00660262" w:rsidRPr="00944CCC" w:rsidRDefault="00660262" w:rsidP="0056051A">
      <w:pPr>
        <w:pStyle w:val="ListParagraph"/>
        <w:numPr>
          <w:ilvl w:val="0"/>
          <w:numId w:val="2"/>
        </w:numPr>
        <w:rPr>
          <w:rFonts w:ascii="Open Sans" w:hAnsi="Open Sans" w:cs="Open Sans"/>
          <w:lang w:eastAsia="ja-JP"/>
        </w:rPr>
      </w:pPr>
      <w:r w:rsidRPr="00944CCC">
        <w:rPr>
          <w:rFonts w:ascii="Open Sans" w:hAnsi="Open Sans" w:cs="Open Sans"/>
          <w:lang w:eastAsia="ja-JP"/>
        </w:rPr>
        <w:t>The Adult program</w:t>
      </w:r>
    </w:p>
    <w:p w14:paraId="00DB546E" w14:textId="77777777" w:rsidR="00660262" w:rsidRPr="00944CCC" w:rsidRDefault="00660262" w:rsidP="0056051A">
      <w:pPr>
        <w:pStyle w:val="ListParagraph"/>
        <w:numPr>
          <w:ilvl w:val="0"/>
          <w:numId w:val="2"/>
        </w:numPr>
        <w:rPr>
          <w:rFonts w:ascii="Open Sans" w:hAnsi="Open Sans" w:cs="Open Sans"/>
          <w:lang w:eastAsia="ja-JP"/>
        </w:rPr>
      </w:pPr>
      <w:r w:rsidRPr="00944CCC">
        <w:rPr>
          <w:rFonts w:ascii="Open Sans" w:hAnsi="Open Sans" w:cs="Open Sans"/>
          <w:lang w:eastAsia="ja-JP"/>
        </w:rPr>
        <w:t>The Dislocated Worker program, and</w:t>
      </w:r>
    </w:p>
    <w:p w14:paraId="7942A978" w14:textId="77777777" w:rsidR="00660262" w:rsidRPr="00944CCC" w:rsidRDefault="00660262" w:rsidP="0056051A">
      <w:pPr>
        <w:pStyle w:val="ListParagraph"/>
        <w:numPr>
          <w:ilvl w:val="0"/>
          <w:numId w:val="2"/>
        </w:numPr>
        <w:rPr>
          <w:rFonts w:ascii="Open Sans" w:hAnsi="Open Sans" w:cs="Open Sans"/>
          <w:lang w:eastAsia="ja-JP"/>
        </w:rPr>
      </w:pPr>
      <w:r w:rsidRPr="00944CCC">
        <w:rPr>
          <w:rFonts w:ascii="Open Sans" w:hAnsi="Open Sans" w:cs="Open Sans"/>
          <w:lang w:eastAsia="ja-JP"/>
        </w:rPr>
        <w:t>The Youth program.</w:t>
      </w:r>
    </w:p>
    <w:p w14:paraId="0D6C529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Department of Labor also administers the Wagner-Peyser Employment Service Program, as amended by title III of WIOA. </w:t>
      </w:r>
    </w:p>
    <w:p w14:paraId="0FA827F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remaining two core programs are administered here in ED. One is the Adult Education and Family Literacy Act, or AEFLA, program that you work on and the other is the Vocational Rehabilitation program, which is administered by the Rehabilitative Services Administration in our Office of Special Education and Rehabilitative Services.</w:t>
      </w:r>
    </w:p>
    <w:p w14:paraId="41121DC6" w14:textId="77777777" w:rsidR="000C4C26" w:rsidRPr="00944CCC" w:rsidRDefault="00660262" w:rsidP="0056051A">
      <w:pPr>
        <w:rPr>
          <w:rFonts w:ascii="Open Sans" w:hAnsi="Open Sans" w:cs="Open Sans"/>
          <w:lang w:eastAsia="ja-JP"/>
        </w:rPr>
      </w:pPr>
      <w:r w:rsidRPr="00944CCC">
        <w:rPr>
          <w:rFonts w:ascii="Open Sans" w:hAnsi="Open Sans" w:cs="Open Sans"/>
          <w:lang w:eastAsia="ja-JP"/>
        </w:rPr>
        <w:t xml:space="preserve">Now that you have an idea of what WIOA is and how it came to be, check out our other videos that take a much more detailed look at the different components of WIOA and how they apply to your role as a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director.</w:t>
      </w:r>
    </w:p>
    <w:p w14:paraId="6F0D161C" w14:textId="77777777" w:rsidR="000C4C26" w:rsidRPr="00944CCC" w:rsidRDefault="000C4C26" w:rsidP="0056051A">
      <w:pPr>
        <w:rPr>
          <w:rFonts w:ascii="Open Sans" w:hAnsi="Open Sans" w:cs="Open Sans"/>
          <w:lang w:eastAsia="ja-JP"/>
        </w:rPr>
      </w:pPr>
      <w:r w:rsidRPr="00944CCC">
        <w:rPr>
          <w:rFonts w:ascii="Open Sans" w:hAnsi="Open Sans" w:cs="Open Sans"/>
          <w:lang w:eastAsia="ja-JP"/>
        </w:rPr>
        <w:br w:type="page"/>
      </w:r>
    </w:p>
    <w:p w14:paraId="64162090" w14:textId="77777777" w:rsidR="00660262" w:rsidRPr="00944CCC" w:rsidRDefault="00660262" w:rsidP="0056051A">
      <w:pPr>
        <w:pStyle w:val="Heading2"/>
        <w:rPr>
          <w:rFonts w:ascii="Open Sans" w:hAnsi="Open Sans" w:cs="Open Sans"/>
          <w:color w:val="032E53"/>
        </w:rPr>
      </w:pPr>
      <w:bookmarkStart w:id="6" w:name="_WIOA’s_Statutory_Structure"/>
      <w:bookmarkStart w:id="7" w:name="_Toc163979980"/>
      <w:bookmarkStart w:id="8" w:name="_Toc171600460"/>
      <w:bookmarkEnd w:id="6"/>
      <w:r w:rsidRPr="00944CCC">
        <w:rPr>
          <w:rFonts w:ascii="Open Sans" w:hAnsi="Open Sans" w:cs="Open Sans"/>
          <w:color w:val="032E53"/>
        </w:rPr>
        <w:lastRenderedPageBreak/>
        <w:t>WIOA’s Statutory Structure</w:t>
      </w:r>
      <w:bookmarkEnd w:id="7"/>
      <w:bookmarkEnd w:id="8"/>
    </w:p>
    <w:p w14:paraId="3FEC1FD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this video, we’ll provide an overview of the legal structure of the Workforce Innovation and Opportunity Act, or WIOA. This will help you better understand all the requirements that you need to consider when implementing WIOA. </w:t>
      </w:r>
    </w:p>
    <w:p w14:paraId="608E215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This video is part of a series of videos that will help you familiarize yourself with the basics of WIOA. By watching the videos in this series, you will begin to:</w:t>
      </w:r>
    </w:p>
    <w:p w14:paraId="47A112B1" w14:textId="77777777" w:rsidR="00660262" w:rsidRPr="00944CCC" w:rsidRDefault="00660262" w:rsidP="0056051A">
      <w:pPr>
        <w:pStyle w:val="ListParagraph"/>
        <w:numPr>
          <w:ilvl w:val="0"/>
          <w:numId w:val="1"/>
        </w:numPr>
        <w:rPr>
          <w:rFonts w:ascii="Open Sans" w:hAnsi="Open Sans" w:cs="Open Sans"/>
          <w:lang w:eastAsia="ja-JP"/>
        </w:rPr>
      </w:pPr>
      <w:r w:rsidRPr="00944CCC">
        <w:rPr>
          <w:rFonts w:ascii="Open Sans" w:hAnsi="Open Sans" w:cs="Open Sans"/>
          <w:lang w:eastAsia="ja-JP"/>
        </w:rPr>
        <w:t>Gain a foundational knowledge of the purpose of WIOA, including title II</w:t>
      </w:r>
    </w:p>
    <w:p w14:paraId="0956EA38" w14:textId="77777777" w:rsidR="00660262" w:rsidRPr="00944CCC" w:rsidRDefault="00660262" w:rsidP="0056051A">
      <w:pPr>
        <w:pStyle w:val="ListParagraph"/>
        <w:numPr>
          <w:ilvl w:val="0"/>
          <w:numId w:val="1"/>
        </w:numPr>
        <w:rPr>
          <w:rFonts w:ascii="Open Sans" w:hAnsi="Open Sans" w:cs="Open Sans"/>
          <w:lang w:eastAsia="ja-JP"/>
        </w:rPr>
      </w:pPr>
      <w:r w:rsidRPr="00944CCC">
        <w:rPr>
          <w:rFonts w:ascii="Open Sans" w:hAnsi="Open Sans" w:cs="Open Sans"/>
          <w:lang w:eastAsia="ja-JP"/>
        </w:rPr>
        <w:t>You will acquire an understanding of the structure and order of the statute, the regulations, and guidance, and</w:t>
      </w:r>
    </w:p>
    <w:p w14:paraId="6664189E" w14:textId="77777777" w:rsidR="00660262" w:rsidRPr="00944CCC" w:rsidRDefault="00660262" w:rsidP="0056051A">
      <w:pPr>
        <w:pStyle w:val="ListParagraph"/>
        <w:numPr>
          <w:ilvl w:val="0"/>
          <w:numId w:val="1"/>
        </w:numPr>
        <w:rPr>
          <w:rFonts w:ascii="Open Sans" w:hAnsi="Open Sans" w:cs="Open Sans"/>
          <w:lang w:eastAsia="ja-JP"/>
        </w:rPr>
      </w:pPr>
      <w:r w:rsidRPr="00944CCC">
        <w:rPr>
          <w:rFonts w:ascii="Open Sans" w:hAnsi="Open Sans" w:cs="Open Sans"/>
          <w:lang w:eastAsia="ja-JP"/>
        </w:rPr>
        <w:t>You will learn about the legal resources that are available to you as you implement WIOA and the Adult Education and Family Literacy Act, or AEFLA, program.</w:t>
      </w:r>
    </w:p>
    <w:p w14:paraId="2911610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what we cover in this video, you can find more helpful resources in the Playbook.</w:t>
      </w:r>
    </w:p>
    <w:p w14:paraId="1AC43E82" w14:textId="77777777" w:rsidR="00660262" w:rsidRPr="00944CCC" w:rsidRDefault="00660262" w:rsidP="00944CCC">
      <w:pPr>
        <w:pStyle w:val="Heading3"/>
      </w:pPr>
      <w:bookmarkStart w:id="9" w:name="_Toc163979981"/>
      <w:bookmarkStart w:id="10" w:name="_Toc171600461"/>
      <w:r w:rsidRPr="00944CCC">
        <w:t>The Legal Structure of WIOA</w:t>
      </w:r>
      <w:bookmarkEnd w:id="9"/>
      <w:bookmarkEnd w:id="10"/>
    </w:p>
    <w:p w14:paraId="759EC97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legal structure of WIOA is comprised of three categories. The first is the statute, or WIOA. Next are the regulations that both the Department of Education and the Department of Labor promulgated to further explain the statute. And third are various forms of guidance that the agencies have developed to help provide further assistance in understanding the statute itself and then carrying out the program's requirements. </w:t>
      </w:r>
    </w:p>
    <w:p w14:paraId="67A36B3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Let’s begin by looking at the statute itself, starting with title I. Title I of WIOA has program-specific provisions for the Department of Labor programs. But also, importantly for you, it contains three areas of provisions that both Education and Labor implement jointly. Those joint provisions are: </w:t>
      </w:r>
    </w:p>
    <w:p w14:paraId="0355E5FF" w14:textId="77777777" w:rsidR="00660262" w:rsidRPr="00944CCC" w:rsidRDefault="00660262" w:rsidP="0056051A">
      <w:pPr>
        <w:pStyle w:val="ListParagraph"/>
        <w:numPr>
          <w:ilvl w:val="0"/>
          <w:numId w:val="3"/>
        </w:numPr>
        <w:rPr>
          <w:rFonts w:ascii="Open Sans" w:hAnsi="Open Sans" w:cs="Open Sans"/>
          <w:lang w:eastAsia="ja-JP"/>
        </w:rPr>
      </w:pPr>
      <w:r w:rsidRPr="00944CCC">
        <w:rPr>
          <w:rFonts w:ascii="Open Sans" w:hAnsi="Open Sans" w:cs="Open Sans"/>
          <w:lang w:eastAsia="ja-JP"/>
        </w:rPr>
        <w:t>WIOA State plans</w:t>
      </w:r>
    </w:p>
    <w:p w14:paraId="11650B28" w14:textId="77777777" w:rsidR="00660262" w:rsidRPr="00944CCC" w:rsidRDefault="00660262" w:rsidP="0056051A">
      <w:pPr>
        <w:pStyle w:val="ListParagraph"/>
        <w:numPr>
          <w:ilvl w:val="0"/>
          <w:numId w:val="3"/>
        </w:numPr>
        <w:rPr>
          <w:rFonts w:ascii="Open Sans" w:hAnsi="Open Sans" w:cs="Open Sans"/>
          <w:lang w:eastAsia="ja-JP"/>
        </w:rPr>
      </w:pPr>
      <w:r w:rsidRPr="00944CCC">
        <w:rPr>
          <w:rFonts w:ascii="Open Sans" w:hAnsi="Open Sans" w:cs="Open Sans"/>
          <w:lang w:eastAsia="ja-JP"/>
        </w:rPr>
        <w:t>Performance accountability, and</w:t>
      </w:r>
    </w:p>
    <w:p w14:paraId="6C69B4C0" w14:textId="77777777" w:rsidR="00660262" w:rsidRPr="00944CCC" w:rsidRDefault="00660262" w:rsidP="0056051A">
      <w:pPr>
        <w:pStyle w:val="ListParagraph"/>
        <w:numPr>
          <w:ilvl w:val="0"/>
          <w:numId w:val="3"/>
        </w:numPr>
        <w:rPr>
          <w:rFonts w:ascii="Open Sans" w:hAnsi="Open Sans" w:cs="Open Sans"/>
          <w:lang w:eastAsia="ja-JP"/>
        </w:rPr>
      </w:pPr>
      <w:r w:rsidRPr="00944CCC">
        <w:rPr>
          <w:rFonts w:ascii="Open Sans" w:hAnsi="Open Sans" w:cs="Open Sans"/>
          <w:lang w:eastAsia="ja-JP"/>
        </w:rPr>
        <w:t xml:space="preserve">The one-stop delivery system. </w:t>
      </w:r>
    </w:p>
    <w:p w14:paraId="2E4824EF" w14:textId="77777777" w:rsidR="00660262" w:rsidRPr="00944CCC" w:rsidRDefault="00660262" w:rsidP="0056051A">
      <w:pPr>
        <w:rPr>
          <w:rFonts w:ascii="Open Sans" w:hAnsi="Open Sans" w:cs="Open Sans"/>
          <w:lang w:eastAsia="ja-JP"/>
        </w:rPr>
      </w:pPr>
      <w:proofErr w:type="gramStart"/>
      <w:r w:rsidRPr="00944CCC">
        <w:rPr>
          <w:rFonts w:ascii="Open Sans" w:hAnsi="Open Sans" w:cs="Open Sans"/>
          <w:lang w:eastAsia="ja-JP"/>
        </w:rPr>
        <w:t>All of</w:t>
      </w:r>
      <w:proofErr w:type="gramEnd"/>
      <w:r w:rsidRPr="00944CCC">
        <w:rPr>
          <w:rFonts w:ascii="Open Sans" w:hAnsi="Open Sans" w:cs="Open Sans"/>
          <w:lang w:eastAsia="ja-JP"/>
        </w:rPr>
        <w:t xml:space="preserve"> the requirements for these areas are found in title I. </w:t>
      </w:r>
    </w:p>
    <w:p w14:paraId="20BDAFF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Title II of WIOA is the Adult Education and Family Literacy Act, or AEFLA. As a State Director this is the section of the law that will guide your work and you should become very familiar with it.</w:t>
      </w:r>
    </w:p>
    <w:p w14:paraId="2814EAC8" w14:textId="7D2E42FF"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So those are some components of the WIOA statute. Now, let’s take a quick look at the regulations or rules that are designed to help you interpret WIOA. Think of the regulations as corresponding to or being in tandem with the statute, helping to </w:t>
      </w:r>
      <w:r w:rsidRPr="00944CCC">
        <w:rPr>
          <w:rFonts w:ascii="Open Sans" w:hAnsi="Open Sans" w:cs="Open Sans"/>
          <w:lang w:eastAsia="ja-JP"/>
        </w:rPr>
        <w:lastRenderedPageBreak/>
        <w:t xml:space="preserve">interpret it. And just as there are joint provisions in title I of WIOA that cover State plans, performance accountability, and the one-stop delivery system, we have corresponding joint </w:t>
      </w:r>
      <w:r w:rsidRPr="00944CCC">
        <w:rPr>
          <w:rFonts w:ascii="Open Sans" w:hAnsi="Open Sans" w:cs="Open Sans"/>
          <w:bCs/>
          <w:iCs/>
          <w:lang w:eastAsia="ja-JP"/>
        </w:rPr>
        <w:t>regulations</w:t>
      </w:r>
      <w:r w:rsidRPr="00944CCC">
        <w:rPr>
          <w:rFonts w:ascii="Open Sans" w:hAnsi="Open Sans" w:cs="Open Sans"/>
          <w:b/>
          <w:i/>
          <w:lang w:eastAsia="ja-JP"/>
        </w:rPr>
        <w:t xml:space="preserve"> </w:t>
      </w:r>
      <w:r w:rsidRPr="00944CCC">
        <w:rPr>
          <w:rFonts w:ascii="Open Sans" w:hAnsi="Open Sans" w:cs="Open Sans"/>
          <w:lang w:eastAsia="ja-JP"/>
        </w:rPr>
        <w:t>for those three areas as well. These regulations apply to all six core programs of WIOA, including AEFLA.</w:t>
      </w:r>
    </w:p>
    <w:p w14:paraId="457FAFC8" w14:textId="72CD375B"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Next to each regulation, you can see where they can be found in the code of federal regulations, or CFR. These include regulations regarding unified and combined State plans found in 34 CFR part 463 subpart H; Performance Accountability found in 34 CFR part 463 subpart I, and the one-stop delivery system found in 34 CFR part 463 subpart J. We’ve also included links to all these regulations in the Playbook. </w:t>
      </w:r>
    </w:p>
    <w:p w14:paraId="4E875D2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the joint WIOA regulations, it is important to note that there are also two sets of AEFLA program-specific regulations. There's one set in 34 CFR part 462 which deals with measuring educational gains in the National Reporting System, or the NRS. This set of regulations focuses on the process for determining tests that are suitable for measuring educational gain. And there’s another set of AEFLA program-specific regulations in 34 CFR part 463 that deals with the requirements of carrying out the AEFLA program. You can think of part 463 as being the most in tandem with title II or AEFLA.</w:t>
      </w:r>
    </w:p>
    <w:p w14:paraId="3A0E792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Let’s go back to the WIOA statute and see what else is contained in title I. Alignment is a key component of WIOA, and title I is full of information about alignment. If you haven't had the chance yet to dive into it, then we would encourage you to spend some time becoming familiar with title I of the statute. Even though you are responsible for administering AEFLA, or title II, there are </w:t>
      </w:r>
      <w:proofErr w:type="gramStart"/>
      <w:r w:rsidRPr="00944CCC">
        <w:rPr>
          <w:rFonts w:ascii="Open Sans" w:hAnsi="Open Sans" w:cs="Open Sans"/>
          <w:lang w:eastAsia="ja-JP"/>
        </w:rPr>
        <w:t>a number of</w:t>
      </w:r>
      <w:proofErr w:type="gramEnd"/>
      <w:r w:rsidRPr="00944CCC">
        <w:rPr>
          <w:rFonts w:ascii="Open Sans" w:hAnsi="Open Sans" w:cs="Open Sans"/>
          <w:lang w:eastAsia="ja-JP"/>
        </w:rPr>
        <w:t xml:space="preserve"> components in title I that directly impact the AEFLA program. </w:t>
      </w:r>
    </w:p>
    <w:p w14:paraId="584B16B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Subtitle A within title I speaks to system alignment, which is a key component of WIOA. This is also where the core programs are established, and it's also here, in sections 102 and 103, that the requirements for State plans are laid out.</w:t>
      </w:r>
    </w:p>
    <w:p w14:paraId="53B3A89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Additionally, Subtitle A is where the requirements for performance indicators that are common across all core programs are found. It also streamlines the workforce investment boards and strengthens board functions. Subtitle A establishes local boards and local plans by statute. </w:t>
      </w:r>
      <w:proofErr w:type="gramStart"/>
      <w:r w:rsidRPr="00944CCC">
        <w:rPr>
          <w:rFonts w:ascii="Open Sans" w:hAnsi="Open Sans" w:cs="Open Sans"/>
          <w:lang w:eastAsia="ja-JP"/>
        </w:rPr>
        <w:t>So</w:t>
      </w:r>
      <w:proofErr w:type="gramEnd"/>
      <w:r w:rsidRPr="00944CCC">
        <w:rPr>
          <w:rFonts w:ascii="Open Sans" w:hAnsi="Open Sans" w:cs="Open Sans"/>
          <w:lang w:eastAsia="ja-JP"/>
        </w:rPr>
        <w:t xml:space="preserve"> there's a lot of information in Subtitle A that directly impacts the AEFLA program. </w:t>
      </w:r>
    </w:p>
    <w:p w14:paraId="2E56E26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Under Subtitle B in title I, the workforce activities and providers are established. This includes the roles and responsibilities in the one-stop delivery system. Subtitle B identifies the seven partner programs that must be included in the one-stop delivery system. One of the partner programs is the Perkins Career and Technical Education Program, which is administered here in OCTAE. Subtitle B is also where you’ll find the requirements regarding contributions to the one-stops from the core </w:t>
      </w:r>
      <w:r w:rsidRPr="00944CCC">
        <w:rPr>
          <w:rFonts w:ascii="Open Sans" w:hAnsi="Open Sans" w:cs="Open Sans"/>
          <w:lang w:eastAsia="ja-JP"/>
        </w:rPr>
        <w:lastRenderedPageBreak/>
        <w:t>and partner programs, and it also authorizes several Department of Labor programs.</w:t>
      </w:r>
    </w:p>
    <w:p w14:paraId="56392CF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Ok, so that’s an overview of title I of WIOA, now let’s discuss the purposes of the title II AEFLA program. Each federal statute has a purpose section where Congress indicates what it expects a program to accomplish. The purpose of title II is to create a partnership among the federal government, States, and localities to provide four key components.</w:t>
      </w:r>
    </w:p>
    <w:p w14:paraId="6A7ED08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And those components include:</w:t>
      </w:r>
    </w:p>
    <w:p w14:paraId="1E11B75D" w14:textId="77777777" w:rsidR="00660262" w:rsidRPr="00944CCC" w:rsidRDefault="00660262" w:rsidP="0056051A">
      <w:pPr>
        <w:pStyle w:val="ListParagraph"/>
        <w:numPr>
          <w:ilvl w:val="0"/>
          <w:numId w:val="4"/>
        </w:numPr>
        <w:rPr>
          <w:rFonts w:ascii="Open Sans" w:hAnsi="Open Sans" w:cs="Open Sans"/>
          <w:lang w:eastAsia="ja-JP"/>
        </w:rPr>
      </w:pPr>
      <w:r w:rsidRPr="00944CCC">
        <w:rPr>
          <w:rFonts w:ascii="Open Sans" w:hAnsi="Open Sans" w:cs="Open Sans"/>
          <w:lang w:eastAsia="ja-JP"/>
        </w:rPr>
        <w:t>Assisting adults in becoming literate</w:t>
      </w:r>
    </w:p>
    <w:p w14:paraId="28B41DBD" w14:textId="77777777" w:rsidR="00660262" w:rsidRPr="00944CCC" w:rsidRDefault="00660262" w:rsidP="0056051A">
      <w:pPr>
        <w:pStyle w:val="ListParagraph"/>
        <w:numPr>
          <w:ilvl w:val="0"/>
          <w:numId w:val="4"/>
        </w:numPr>
        <w:rPr>
          <w:rFonts w:ascii="Open Sans" w:hAnsi="Open Sans" w:cs="Open Sans"/>
          <w:lang w:eastAsia="ja-JP"/>
        </w:rPr>
      </w:pPr>
      <w:r w:rsidRPr="00944CCC">
        <w:rPr>
          <w:rFonts w:ascii="Open Sans" w:hAnsi="Open Sans" w:cs="Open Sans"/>
          <w:lang w:eastAsia="ja-JP"/>
        </w:rPr>
        <w:t>Assisting adults who are parents or family members</w:t>
      </w:r>
    </w:p>
    <w:p w14:paraId="20E5A2EB" w14:textId="77777777" w:rsidR="00660262" w:rsidRPr="00944CCC" w:rsidRDefault="00660262" w:rsidP="0056051A">
      <w:pPr>
        <w:pStyle w:val="ListParagraph"/>
        <w:numPr>
          <w:ilvl w:val="0"/>
          <w:numId w:val="4"/>
        </w:numPr>
        <w:rPr>
          <w:rFonts w:ascii="Open Sans" w:hAnsi="Open Sans" w:cs="Open Sans"/>
          <w:lang w:eastAsia="ja-JP"/>
        </w:rPr>
      </w:pPr>
      <w:r w:rsidRPr="00944CCC">
        <w:rPr>
          <w:rFonts w:ascii="Open Sans" w:hAnsi="Open Sans" w:cs="Open Sans"/>
          <w:lang w:eastAsia="ja-JP"/>
        </w:rPr>
        <w:t>Assisting adults in attaining a secondary school diploma and transitioning from adult education to post-secondary education and training, and</w:t>
      </w:r>
    </w:p>
    <w:p w14:paraId="24A7E13F" w14:textId="77777777" w:rsidR="00660262" w:rsidRPr="00944CCC" w:rsidRDefault="00660262" w:rsidP="0056051A">
      <w:pPr>
        <w:pStyle w:val="ListParagraph"/>
        <w:numPr>
          <w:ilvl w:val="0"/>
          <w:numId w:val="4"/>
        </w:numPr>
        <w:rPr>
          <w:rFonts w:ascii="Open Sans" w:hAnsi="Open Sans" w:cs="Open Sans"/>
          <w:lang w:eastAsia="ja-JP"/>
        </w:rPr>
      </w:pPr>
      <w:r w:rsidRPr="00944CCC">
        <w:rPr>
          <w:rFonts w:ascii="Open Sans" w:hAnsi="Open Sans" w:cs="Open Sans"/>
          <w:lang w:eastAsia="ja-JP"/>
        </w:rPr>
        <w:t>Assisting immigrants and English language learners</w:t>
      </w:r>
    </w:p>
    <w:p w14:paraId="5778F97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Now let’s look at some important AEFLA statutory provisions in title II. Starting in section 203, you have the definition section where key terms are defined, everything from adult education and literacy to eligible provider to integrated education and training. If a term is defined, there's no flexibility in its meaning. Its meaning is controlled by the statute. </w:t>
      </w:r>
    </w:p>
    <w:p w14:paraId="570814D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Now, there are instances where the department might have expanded upon a particular definition through the regulations, but for the most part, you should focus on what the definition section says about a particular term. It's important to become familiar with the all the terms defined in the statute. </w:t>
      </w:r>
    </w:p>
    <w:p w14:paraId="6C1358A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Moving on to section 222 of title II, this is where you’ll find a description of the distribution of funds that the State must make, including the 82.5% that must be used for grants and contracts to eligible providers. </w:t>
      </w:r>
    </w:p>
    <w:p w14:paraId="3D3E2BB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section 223, you’ll find the four required State leadership activities and </w:t>
      </w:r>
      <w:proofErr w:type="gramStart"/>
      <w:r w:rsidRPr="00944CCC">
        <w:rPr>
          <w:rFonts w:ascii="Open Sans" w:hAnsi="Open Sans" w:cs="Open Sans"/>
          <w:lang w:eastAsia="ja-JP"/>
        </w:rPr>
        <w:t>a number of</w:t>
      </w:r>
      <w:proofErr w:type="gramEnd"/>
      <w:r w:rsidRPr="00944CCC">
        <w:rPr>
          <w:rFonts w:ascii="Open Sans" w:hAnsi="Open Sans" w:cs="Open Sans"/>
          <w:lang w:eastAsia="ja-JP"/>
        </w:rPr>
        <w:t xml:space="preserve"> permissible State leadership activities.</w:t>
      </w:r>
    </w:p>
    <w:p w14:paraId="151F9B9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Section 225 contains the requirements for corrections education including how funds can be used. There are also two additional relevant definitions in section 225 related to the corrections education program.</w:t>
      </w:r>
    </w:p>
    <w:p w14:paraId="78A0CBB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Then there are several sections in the statute that are central to the process of awarding funds to eligible providers at the local level.</w:t>
      </w:r>
    </w:p>
    <w:p w14:paraId="4BB41FD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Section 231 contains requirements for the local application process and section 232 lists what must be in the local application itself.</w:t>
      </w:r>
    </w:p>
    <w:p w14:paraId="58367EC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Section 233 is a requirement that limits how much an eligible provider can spend for administrative purposes. </w:t>
      </w:r>
    </w:p>
    <w:p w14:paraId="3DA9916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 xml:space="preserve">Section 241 contains the program's overarching fiscal requirements, including a non-supplanting requirement and a maintenance of effort requirement in AEFLA. </w:t>
      </w:r>
    </w:p>
    <w:p w14:paraId="2D3CB7E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Lastly, section 243 contains the Integrated English Literacy and Civics Education program, or IELCE, which is a required use of funds for that purpose in combination with integrated education and training activities. Integrated English Literacy and Civics Education services are education services provided to English language learners who are adults, including professionals with degree es or credentials in their native countries, that enable such adults to achieve competency in the English language and acquire the basic and more advanced skills needed to function effectively as parents, workers, and citizens in the United States.</w:t>
      </w:r>
    </w:p>
    <w:p w14:paraId="0D66C579" w14:textId="77777777" w:rsidR="00660262" w:rsidRPr="00944CCC" w:rsidRDefault="00660262" w:rsidP="00944CCC">
      <w:pPr>
        <w:pStyle w:val="Heading3"/>
      </w:pPr>
      <w:bookmarkStart w:id="11" w:name="_Toc163979982"/>
      <w:bookmarkStart w:id="12" w:name="_Toc171600462"/>
      <w:r w:rsidRPr="00944CCC">
        <w:t>Summary</w:t>
      </w:r>
      <w:bookmarkEnd w:id="11"/>
      <w:bookmarkEnd w:id="12"/>
      <w:r w:rsidRPr="00944CCC">
        <w:t xml:space="preserve"> </w:t>
      </w:r>
    </w:p>
    <w:p w14:paraId="3AB2762B" w14:textId="77777777" w:rsidR="000C4C26" w:rsidRPr="00944CCC" w:rsidRDefault="00660262" w:rsidP="0056051A">
      <w:pPr>
        <w:rPr>
          <w:rFonts w:ascii="Open Sans" w:hAnsi="Open Sans" w:cs="Open Sans"/>
          <w:lang w:eastAsia="ja-JP"/>
        </w:rPr>
      </w:pPr>
      <w:proofErr w:type="gramStart"/>
      <w:r w:rsidRPr="00944CCC">
        <w:rPr>
          <w:rFonts w:ascii="Open Sans" w:hAnsi="Open Sans" w:cs="Open Sans"/>
          <w:lang w:eastAsia="ja-JP"/>
        </w:rPr>
        <w:t>So</w:t>
      </w:r>
      <w:proofErr w:type="gramEnd"/>
      <w:r w:rsidRPr="00944CCC">
        <w:rPr>
          <w:rFonts w:ascii="Open Sans" w:hAnsi="Open Sans" w:cs="Open Sans"/>
          <w:lang w:eastAsia="ja-JP"/>
        </w:rPr>
        <w:t xml:space="preserve"> to summarize, WIOA title I and title II contain essential information for implementing WIOA and AEFLA. There are also important regulations that further clarify the statute. In our video on WIOA definitions and AEFLA program regulations, we’ll take a more detailed look at how the statute, regulations, and guidance all work together to inform WIOA implementation. So be sure to check that out. You can also find more information on the legal structure of WIOA in the Playbook.</w:t>
      </w:r>
    </w:p>
    <w:p w14:paraId="6B6C26D6" w14:textId="77777777" w:rsidR="000C4C26" w:rsidRPr="00944CCC" w:rsidRDefault="000C4C26" w:rsidP="0056051A">
      <w:pPr>
        <w:rPr>
          <w:rFonts w:ascii="Open Sans" w:hAnsi="Open Sans" w:cs="Open Sans"/>
          <w:lang w:eastAsia="ja-JP"/>
        </w:rPr>
      </w:pPr>
      <w:r w:rsidRPr="00944CCC">
        <w:rPr>
          <w:rFonts w:ascii="Open Sans" w:hAnsi="Open Sans" w:cs="Open Sans"/>
          <w:lang w:eastAsia="ja-JP"/>
        </w:rPr>
        <w:br w:type="page"/>
      </w:r>
    </w:p>
    <w:p w14:paraId="2F1ACA11" w14:textId="77777777" w:rsidR="00660262" w:rsidRPr="00944CCC" w:rsidRDefault="00660262" w:rsidP="0056051A">
      <w:pPr>
        <w:pStyle w:val="Heading2"/>
        <w:rPr>
          <w:rFonts w:ascii="Open Sans" w:hAnsi="Open Sans" w:cs="Open Sans"/>
          <w:color w:val="032E53"/>
        </w:rPr>
      </w:pPr>
      <w:bookmarkStart w:id="13" w:name="_Definitions,_AEFLA_Program"/>
      <w:bookmarkStart w:id="14" w:name="_Toc163979983"/>
      <w:bookmarkStart w:id="15" w:name="_Toc171600463"/>
      <w:bookmarkEnd w:id="13"/>
      <w:r w:rsidRPr="00944CCC">
        <w:rPr>
          <w:rFonts w:ascii="Open Sans" w:hAnsi="Open Sans" w:cs="Open Sans"/>
          <w:color w:val="032E53"/>
        </w:rPr>
        <w:lastRenderedPageBreak/>
        <w:t>Definitions, AEFLA Program Regulations, Legal Resources</w:t>
      </w:r>
      <w:bookmarkEnd w:id="14"/>
      <w:bookmarkEnd w:id="15"/>
    </w:p>
    <w:p w14:paraId="31C6BE6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this video, we’ll go through some important definitions contained in the Workforce Innovation and Opportunity Act, also known as WIOA. We’ll also see how these definitions can be further clarified by regulations established by the Department of Education. We will also see how additional guidance from the Department of Education and the federal government can come into play when understanding key terms in WIOA.</w:t>
      </w:r>
    </w:p>
    <w:p w14:paraId="308423A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This video is part of a series of videos that will help you familiarize yourself with the basics of WIOA. By watching the videos in this series, you will begin to:</w:t>
      </w:r>
    </w:p>
    <w:p w14:paraId="58599A02" w14:textId="77777777" w:rsidR="00660262" w:rsidRPr="00944CCC" w:rsidRDefault="00660262" w:rsidP="0056051A">
      <w:pPr>
        <w:pStyle w:val="ListParagraph"/>
        <w:numPr>
          <w:ilvl w:val="0"/>
          <w:numId w:val="1"/>
        </w:numPr>
        <w:rPr>
          <w:rFonts w:ascii="Open Sans" w:hAnsi="Open Sans" w:cs="Open Sans"/>
          <w:lang w:eastAsia="ja-JP"/>
        </w:rPr>
      </w:pPr>
      <w:r w:rsidRPr="00944CCC">
        <w:rPr>
          <w:rFonts w:ascii="Open Sans" w:hAnsi="Open Sans" w:cs="Open Sans"/>
          <w:lang w:eastAsia="ja-JP"/>
        </w:rPr>
        <w:t>Gain a foundational knowledge of the purpose of WIOA, including title II</w:t>
      </w:r>
    </w:p>
    <w:p w14:paraId="007629BA" w14:textId="77777777" w:rsidR="00660262" w:rsidRPr="00944CCC" w:rsidRDefault="00660262" w:rsidP="0056051A">
      <w:pPr>
        <w:pStyle w:val="ListParagraph"/>
        <w:numPr>
          <w:ilvl w:val="0"/>
          <w:numId w:val="1"/>
        </w:numPr>
        <w:rPr>
          <w:rFonts w:ascii="Open Sans" w:hAnsi="Open Sans" w:cs="Open Sans"/>
          <w:lang w:eastAsia="ja-JP"/>
        </w:rPr>
      </w:pPr>
      <w:r w:rsidRPr="00944CCC">
        <w:rPr>
          <w:rFonts w:ascii="Open Sans" w:hAnsi="Open Sans" w:cs="Open Sans"/>
          <w:lang w:eastAsia="ja-JP"/>
        </w:rPr>
        <w:t>You will acquire an understanding of the structure and order of the statute, the regulations, and guidance, and</w:t>
      </w:r>
    </w:p>
    <w:p w14:paraId="502B86BB" w14:textId="77777777" w:rsidR="00660262" w:rsidRPr="00944CCC" w:rsidRDefault="00660262" w:rsidP="0056051A">
      <w:pPr>
        <w:pStyle w:val="ListParagraph"/>
        <w:numPr>
          <w:ilvl w:val="0"/>
          <w:numId w:val="1"/>
        </w:numPr>
        <w:rPr>
          <w:rFonts w:ascii="Open Sans" w:hAnsi="Open Sans" w:cs="Open Sans"/>
          <w:lang w:eastAsia="ja-JP"/>
        </w:rPr>
      </w:pPr>
      <w:r w:rsidRPr="00944CCC">
        <w:rPr>
          <w:rFonts w:ascii="Open Sans" w:hAnsi="Open Sans" w:cs="Open Sans"/>
          <w:lang w:eastAsia="ja-JP"/>
        </w:rPr>
        <w:t>You will learn about the legal resources that are available to you as you implement WIOA and the Adult Education and Family Literacy Act, or AEFLA, program</w:t>
      </w:r>
    </w:p>
    <w:p w14:paraId="30DC9CB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what we cover in this video, you can find more helpful resources in the Playbook.</w:t>
      </w:r>
    </w:p>
    <w:p w14:paraId="1A73C855" w14:textId="77777777" w:rsidR="00660262" w:rsidRPr="00944CCC" w:rsidRDefault="00660262" w:rsidP="00944CCC">
      <w:pPr>
        <w:pStyle w:val="Heading3"/>
      </w:pPr>
      <w:bookmarkStart w:id="16" w:name="_Toc163979984"/>
      <w:bookmarkStart w:id="17" w:name="_Toc171600464"/>
      <w:r w:rsidRPr="00944CCC">
        <w:t>Key Terms in the AEFLA program</w:t>
      </w:r>
      <w:bookmarkEnd w:id="16"/>
      <w:bookmarkEnd w:id="17"/>
    </w:p>
    <w:p w14:paraId="66D927C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Let’s go through a few important definitions of key terms in the AEFLA program. We’ll see that some of the terms are defined by statute and others require regulatory help to make them a bit clearer. </w:t>
      </w:r>
      <w:proofErr w:type="gramStart"/>
      <w:r w:rsidRPr="00944CCC">
        <w:rPr>
          <w:rFonts w:ascii="Open Sans" w:hAnsi="Open Sans" w:cs="Open Sans"/>
          <w:lang w:eastAsia="ja-JP"/>
        </w:rPr>
        <w:t>All of</w:t>
      </w:r>
      <w:proofErr w:type="gramEnd"/>
      <w:r w:rsidRPr="00944CCC">
        <w:rPr>
          <w:rFonts w:ascii="Open Sans" w:hAnsi="Open Sans" w:cs="Open Sans"/>
          <w:lang w:eastAsia="ja-JP"/>
        </w:rPr>
        <w:t xml:space="preserve"> the definitions we’re going to discuss can be found in section 203 of WIOA, which is where title II's definitions are found. </w:t>
      </w:r>
    </w:p>
    <w:p w14:paraId="33D8521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There are also definitions in WIOA that apply to </w:t>
      </w:r>
      <w:proofErr w:type="gramStart"/>
      <w:r w:rsidRPr="00944CCC">
        <w:rPr>
          <w:rFonts w:ascii="Open Sans" w:hAnsi="Open Sans" w:cs="Open Sans"/>
          <w:lang w:eastAsia="ja-JP"/>
        </w:rPr>
        <w:t>all of</w:t>
      </w:r>
      <w:proofErr w:type="gramEnd"/>
      <w:r w:rsidRPr="00944CCC">
        <w:rPr>
          <w:rFonts w:ascii="Open Sans" w:hAnsi="Open Sans" w:cs="Open Sans"/>
          <w:lang w:eastAsia="ja-JP"/>
        </w:rPr>
        <w:t xml:space="preserve"> the programs. These definitions can be found in section 3 of title I.  However, in section 203 of title II, you will find the definitions that are unique to AEFLA. These definitions are laid out in a logical order in the statute, so that the first one is the definition of what adult education is. You can see that this ties back to the purpose section at the beginning of the title II section of the statute.</w:t>
      </w:r>
    </w:p>
    <w:p w14:paraId="0CD210C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So next we have the definition of who is eligible for AEFLA services, which is found in WIOA section 203(4). We encourage you to pay close attention to this when you get ready to run your competitions and you're putting definition terms in the request for proposals. </w:t>
      </w:r>
    </w:p>
    <w:p w14:paraId="71DB572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Sometimes States will try to paraphrase the federal definition or add to it. Just remember that definitions are already in the statute and there's no need for you to add additional language to the terms that are AEFLA-specific. You can have State </w:t>
      </w:r>
      <w:r w:rsidRPr="00944CCC">
        <w:rPr>
          <w:rFonts w:ascii="Open Sans" w:hAnsi="Open Sans" w:cs="Open Sans"/>
          <w:lang w:eastAsia="ja-JP"/>
        </w:rPr>
        <w:lastRenderedPageBreak/>
        <w:t>definitions of other terms, but definitions for terms such as the eligible individual are already in the statute.</w:t>
      </w:r>
    </w:p>
    <w:p w14:paraId="06AB1C0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WIOA section 203(2) defines the list of eight activities that are authorized under AEFLA. States make the determination as to which of these activities they are going to support through the running of competitions to fund local programs. States also address these activities in their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plans.</w:t>
      </w:r>
    </w:p>
    <w:p w14:paraId="6D5E2C0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Each of the eight allowable activities is defined in section 203. Some of the activities, such as literacy, workplace adult education and literacy, and family literacy do not have any additional regulatory language to further explain what the statute says.</w:t>
      </w:r>
    </w:p>
    <w:p w14:paraId="50CCD8D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Workplace adult education and literacy is defined in WIOA section 203(16). Again, this did not require further regulatory explanation.</w:t>
      </w:r>
    </w:p>
    <w:p w14:paraId="5DA6D1E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definition of family literacy is found in WIOA section 203(9).</w:t>
      </w:r>
    </w:p>
    <w:p w14:paraId="63D0183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Some activities do require additional regulatory language to clarify the definitions in section 203. For example, let’s look at English language acquisition. The definition of English language acquisition is found in WIOA section 203(6). Part of the definition States that an English language acquisition program must be one that “leads to the following: attainment of a secondary school diploma or its recognized equivalent, and either a transition to post-secondary education and training or employment.” </w:t>
      </w:r>
    </w:p>
    <w:p w14:paraId="413DA26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We realized that was not entirely clear. What exactly did it mean to lead to </w:t>
      </w:r>
      <w:proofErr w:type="gramStart"/>
      <w:r w:rsidRPr="00944CCC">
        <w:rPr>
          <w:rFonts w:ascii="Open Sans" w:hAnsi="Open Sans" w:cs="Open Sans"/>
          <w:lang w:eastAsia="ja-JP"/>
        </w:rPr>
        <w:t>all of</w:t>
      </w:r>
      <w:proofErr w:type="gramEnd"/>
      <w:r w:rsidRPr="00944CCC">
        <w:rPr>
          <w:rFonts w:ascii="Open Sans" w:hAnsi="Open Sans" w:cs="Open Sans"/>
          <w:lang w:eastAsia="ja-JP"/>
        </w:rPr>
        <w:t xml:space="preserve"> those things? </w:t>
      </w:r>
      <w:proofErr w:type="gramStart"/>
      <w:r w:rsidRPr="00944CCC">
        <w:rPr>
          <w:rFonts w:ascii="Open Sans" w:hAnsi="Open Sans" w:cs="Open Sans"/>
          <w:lang w:eastAsia="ja-JP"/>
        </w:rPr>
        <w:t>So</w:t>
      </w:r>
      <w:proofErr w:type="gramEnd"/>
      <w:r w:rsidRPr="00944CCC">
        <w:rPr>
          <w:rFonts w:ascii="Open Sans" w:hAnsi="Open Sans" w:cs="Open Sans"/>
          <w:lang w:eastAsia="ja-JP"/>
        </w:rPr>
        <w:t xml:space="preserve"> we went through the regulatory process to clarify that definition further. </w:t>
      </w:r>
    </w:p>
    <w:p w14:paraId="748C8B5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This is an instance where both the statute and the regulation work together to give you a full definition of “English language acquisition.” The language from the regulations explains what a program must do or be </w:t>
      </w:r>
      <w:proofErr w:type="gramStart"/>
      <w:r w:rsidRPr="00944CCC">
        <w:rPr>
          <w:rFonts w:ascii="Open Sans" w:hAnsi="Open Sans" w:cs="Open Sans"/>
          <w:lang w:eastAsia="ja-JP"/>
        </w:rPr>
        <w:t>in order to</w:t>
      </w:r>
      <w:proofErr w:type="gramEnd"/>
      <w:r w:rsidRPr="00944CCC">
        <w:rPr>
          <w:rFonts w:ascii="Open Sans" w:hAnsi="Open Sans" w:cs="Open Sans"/>
          <w:lang w:eastAsia="ja-JP"/>
        </w:rPr>
        <w:t xml:space="preserve"> meet the requirement that it leads to attainment of a secondary school diploma or its recognized equivalent, and transition to post-secondary education and training or employment. There are three ways that this requirement can be met which is explained in the regulations.</w:t>
      </w:r>
    </w:p>
    <w:p w14:paraId="4ECA1904" w14:textId="77777777" w:rsidR="00660262" w:rsidRPr="00944CCC" w:rsidRDefault="00660262" w:rsidP="0056051A">
      <w:pPr>
        <w:rPr>
          <w:rFonts w:ascii="Open Sans" w:hAnsi="Open Sans" w:cs="Open Sans"/>
          <w:lang w:eastAsia="ja-JP"/>
        </w:rPr>
      </w:pPr>
      <w:proofErr w:type="gramStart"/>
      <w:r w:rsidRPr="00944CCC">
        <w:rPr>
          <w:rFonts w:ascii="Open Sans" w:hAnsi="Open Sans" w:cs="Open Sans"/>
          <w:lang w:eastAsia="ja-JP"/>
        </w:rPr>
        <w:t>So</w:t>
      </w:r>
      <w:proofErr w:type="gramEnd"/>
      <w:r w:rsidRPr="00944CCC">
        <w:rPr>
          <w:rFonts w:ascii="Open Sans" w:hAnsi="Open Sans" w:cs="Open Sans"/>
          <w:lang w:eastAsia="ja-JP"/>
        </w:rPr>
        <w:t xml:space="preserve"> as you can see from this example, it’s important to check both the statute and regulations to make sure you're understanding the complete requirement.</w:t>
      </w:r>
    </w:p>
    <w:p w14:paraId="3A2E7FE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Let’s look at the definitions for the other activities. The definition of integrated English literacy and civics education is found in WIOA section 203(12). It is straight from the statute, but it's an example we want to bring it to your attention because it was not previously defined before WIOA.</w:t>
      </w:r>
    </w:p>
    <w:p w14:paraId="24ED856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Next is workforce preparation which is defined in the statute in section 203(17). This is another example where we did a little bit with the regulations to expand on the definition that's in the statute. </w:t>
      </w:r>
    </w:p>
    <w:p w14:paraId="47239B0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For the most part, the definition of workforce preparation comes from the statute, but (f) was included in the regulation to try to help interpret what is in the statutory definition.</w:t>
      </w:r>
    </w:p>
    <w:p w14:paraId="3BFE665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Integrated Education and Training, or IET, was a new term in WIOA and did not appear in WIA, and it is defined in statute in WIOA section 203(11). </w:t>
      </w:r>
    </w:p>
    <w:p w14:paraId="29A9879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As a reminder, when you see WIOA section 203, that's straight from the statute. When you see 34 CFR, or Code of Federal Regulations, that's where there's further explanatory language in the regulation. </w:t>
      </w:r>
    </w:p>
    <w:p w14:paraId="67C3F0E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We know that IET can be provided as an activity using your section 231 funds. But we also know that IET is a required component of programs that you fund using section 243 funds. This is where things start to get a little less clear when you start to have items listed as activities, and you can use 231 or basic grant funds for it. But then, what happens when you use your section 243 funds, which is a separate appropriation, a separate pot of money if you will, that has its own requirements to it?</w:t>
      </w:r>
    </w:p>
    <w:p w14:paraId="62FE364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Since Integrated Education and Training is a new term under WIOA, we thought it would be helpful to clarify this a bit more in the regulations. In 34 CFR sections 463.36 through .38 of the regulations, you can find additional information that explains the required components of an IET. Those requirements </w:t>
      </w:r>
      <w:proofErr w:type="gramStart"/>
      <w:r w:rsidRPr="00944CCC">
        <w:rPr>
          <w:rFonts w:ascii="Open Sans" w:hAnsi="Open Sans" w:cs="Open Sans"/>
          <w:lang w:eastAsia="ja-JP"/>
        </w:rPr>
        <w:t>are:</w:t>
      </w:r>
      <w:proofErr w:type="gramEnd"/>
      <w:r w:rsidRPr="00944CCC">
        <w:rPr>
          <w:rFonts w:ascii="Open Sans" w:hAnsi="Open Sans" w:cs="Open Sans"/>
          <w:lang w:eastAsia="ja-JP"/>
        </w:rPr>
        <w:t xml:space="preserve"> adult education and literacy, workforce preparation, and workforce training.</w:t>
      </w:r>
    </w:p>
    <w:p w14:paraId="4D74D92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34 CFR sections 463.36 through .38 clarify how a program meets the requirement that the three components are integrated, and there is detail about how to provide the components concurrently and contextually and how they fit in the scope of an IET.</w:t>
      </w:r>
    </w:p>
    <w:p w14:paraId="16BC3A3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This level of detail was not included in the statute, so this is another example of how a regulation can provide clarifying information to further explain the statute.</w:t>
      </w:r>
    </w:p>
    <w:p w14:paraId="4E12F40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Lastly, the regulations found in 34 CFR sections 463.36 through .38 clarify how to meet the requirement that an IET is for the purpose of education and career advancement. This is done by aligning the program with the State's content standards for adult education as described in the State unified or combined State plan and making sure the IET is part of a career pathway.</w:t>
      </w:r>
    </w:p>
    <w:p w14:paraId="482971E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Now let’s look at corrections education as defined in WIOA. Corrections education activities can be found in WIOA section 225 of title II. Here you’ll find a list of the eight activities that you may include in your corrections education program in your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plan. You would indicate in your plan which corrections education activities you plan to fund. Then when you run your competition, you would include those activities in your request for proposals. This is taken directly from the statute and </w:t>
      </w:r>
      <w:r w:rsidRPr="00944CCC">
        <w:rPr>
          <w:rFonts w:ascii="Open Sans" w:hAnsi="Open Sans" w:cs="Open Sans"/>
          <w:lang w:eastAsia="ja-JP"/>
        </w:rPr>
        <w:lastRenderedPageBreak/>
        <w:t xml:space="preserve">there were no regulations issued regarding corrections education. Even though corrections education is in section 225 of the statute, the money for corrections education is from section 231 funding, also known as your adult basic education grant funds. You may use up to 20% of the 82.5% of your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grant that is for local grants and contracts to fund corrections education activities.</w:t>
      </w:r>
    </w:p>
    <w:p w14:paraId="7903D3A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Integrated English Literary and Civics Education program, or IELCE is also known as section 243. However, you’ll want to note that IELCE is also an allowable activity under </w:t>
      </w:r>
      <w:proofErr w:type="gramStart"/>
      <w:r w:rsidRPr="00944CCC">
        <w:rPr>
          <w:rFonts w:ascii="Open Sans" w:hAnsi="Open Sans" w:cs="Open Sans"/>
          <w:lang w:eastAsia="ja-JP"/>
        </w:rPr>
        <w:t>AEFLA</w:t>
      </w:r>
      <w:proofErr w:type="gramEnd"/>
      <w:r w:rsidRPr="00944CCC">
        <w:rPr>
          <w:rFonts w:ascii="Open Sans" w:hAnsi="Open Sans" w:cs="Open Sans"/>
          <w:lang w:eastAsia="ja-JP"/>
        </w:rPr>
        <w:t xml:space="preserve"> and you can fund it using your 231 adult basic education grant funds.</w:t>
      </w:r>
    </w:p>
    <w:p w14:paraId="22DBAFF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When you use your 243 funds for IELCE, it's considered the IELCE program which has its own appropriation. Section 243 funds have the same competition requirements as section 231 funds. In other words, the same rules for running a 231 competition apply to running a competition for 243 funds.</w:t>
      </w:r>
    </w:p>
    <w:p w14:paraId="60FA922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Just a reminder that the section 243 IELCE program is for English language learners who are adults, including professionals with degrees and credentials in their native countries. Since IELCE under section 243 is a program, rather than an IELCE activity, it is a little more complicated and has more requirements than an activity, which is why we use regulations to clarify the program requirements.</w:t>
      </w:r>
    </w:p>
    <w:p w14:paraId="07C528C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We issued these regulations to further explain the requirements of the section 243 IELCE program and they are found in subpart G of the regulations in part 463.</w:t>
      </w:r>
    </w:p>
    <w:p w14:paraId="31BA088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34 CFR section 463.73 is an example of the regulation mirroring the statutory language. Other parts of subpart G include explanatory language for the IELCE program.</w:t>
      </w:r>
    </w:p>
    <w:p w14:paraId="48E5D94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There is a requirement in the statute that IELCE must be offered in combination with Integrated Education and Training, or IET. The regulations explain how an ILECE program can meet the “offered in combination” requirement through co-enrollment in an IET that is provided within the local or regional workforce area with funds other than section 243 funds, or the IET is offered and supported using section 243 funds.</w:t>
      </w:r>
    </w:p>
    <w:p w14:paraId="34CDD93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We also issued regulations in 34 CFR sections 463.70 through .73 to clarify what we mean by an IELCE program.</w:t>
      </w:r>
    </w:p>
    <w:p w14:paraId="58127A4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We also regulated in these sections to clarify how the federal agency makes awards to States. First, you must have an approved State plan. Second, there is a funding formula that's applied to the section 243 funds to allocate the amounts to States.</w:t>
      </w:r>
    </w:p>
    <w:p w14:paraId="57E8EBB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these same regulations, we further explain the requirements for States when making the awards to local programs. It's the same process as awarding your section 231 funds meaning you follow the process in 34 CFR subpart C of part 463 </w:t>
      </w:r>
      <w:r w:rsidRPr="00944CCC">
        <w:rPr>
          <w:rFonts w:ascii="Open Sans" w:hAnsi="Open Sans" w:cs="Open Sans"/>
          <w:lang w:eastAsia="ja-JP"/>
        </w:rPr>
        <w:lastRenderedPageBreak/>
        <w:t xml:space="preserve">which contains the regulations for how you run an AEFLA competition. That information in subpart C is critical. It applies to competing 231 funds, for basic adult education activities, as well as 231 funds for corrections education activities, and 243 funds, for the IELCE program. </w:t>
      </w:r>
    </w:p>
    <w:p w14:paraId="1DA714E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regulations in 34 CFR sections 463.74 and .75 also explain who is eligible to receive services under the section 243 IELCE program. Individuals who otherwise meet the definition of eligible individual and are English language learners, including professionals with degrees and credentials obtained in their native countries, may receive IELCE services. There is a lot of information in subpart G of the AEFLA regulations that explains the section 243 IELCE program.</w:t>
      </w:r>
    </w:p>
    <w:p w14:paraId="2DDAE5AC" w14:textId="77777777" w:rsidR="00660262" w:rsidRPr="00944CCC" w:rsidRDefault="00660262" w:rsidP="00944CCC">
      <w:pPr>
        <w:pStyle w:val="Heading3"/>
      </w:pPr>
      <w:bookmarkStart w:id="18" w:name="_Toc163979985"/>
      <w:bookmarkStart w:id="19" w:name="_Toc171600465"/>
      <w:r w:rsidRPr="00944CCC">
        <w:t>EDGAR and Guidance</w:t>
      </w:r>
      <w:bookmarkEnd w:id="18"/>
      <w:bookmarkEnd w:id="19"/>
    </w:p>
    <w:p w14:paraId="41A9D0F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Up to this point we've been focusing on the AEFLA program statute and the regulations. There are some other things that you need to access </w:t>
      </w:r>
      <w:proofErr w:type="gramStart"/>
      <w:r w:rsidRPr="00944CCC">
        <w:rPr>
          <w:rFonts w:ascii="Open Sans" w:hAnsi="Open Sans" w:cs="Open Sans"/>
          <w:lang w:eastAsia="ja-JP"/>
        </w:rPr>
        <w:t>in order to</w:t>
      </w:r>
      <w:proofErr w:type="gramEnd"/>
      <w:r w:rsidRPr="00944CCC">
        <w:rPr>
          <w:rFonts w:ascii="Open Sans" w:hAnsi="Open Sans" w:cs="Open Sans"/>
          <w:lang w:eastAsia="ja-JP"/>
        </w:rPr>
        <w:t xml:space="preserve"> fully implement the AEFLA program in accordance with all the requirements that apply. </w:t>
      </w:r>
    </w:p>
    <w:p w14:paraId="2AC1CF7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First, there are the Education Department General Administrative Regulations, also known as EDGAR. EDGAR contains general regulations applicable to all Department of Education grants, including administrative rules for State-administered programs, such as AEFLA, and additional definitions. </w:t>
      </w:r>
    </w:p>
    <w:p w14:paraId="68411C9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Then there are the Uniform Administrative Requirements, Cost Principles, and Audit Requirements for Federal Awards or what we commonly refer to as the Uniform Guidance. These are administrative regulations that apply to all federal awards, not just those awarded by the U.S. Department of Education. For instance, the cost principles that you are probably familiar with, are in the Uniform Guidance. Requirements about procurement, monitoring, reporting, how long to retain grant records, and other administrative matters are addressed in the Uniform Guidance. These are two more regulatory resources that need to be consulted.</w:t>
      </w:r>
    </w:p>
    <w:p w14:paraId="24F2993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And then one final set of resources to help guide you in implementing AEFLA are documents known as non-regulatory guidance. Non-regulatory guidance is neither statute nor regulation, and this guidance doesn't have the force of law because it's not promulgated by Congress. Non-regulatory guidance also hasn't been through the rulemaking regulatory process of the Department of Education, but it is ED’s interpretation on a range of program issues that are not covered by the law or the regulations. Non-regulatory guidance provides you with the Department of Education’s interpretation and understanding.</w:t>
      </w:r>
    </w:p>
    <w:p w14:paraId="09EC639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If you rely on this guidance, then in the case of any audit or other kind of challenge, you can say that you relied on this guidance provided by the Department of Education and that has weight. Examples of guidance are program memos, fact </w:t>
      </w:r>
      <w:r w:rsidRPr="00944CCC">
        <w:rPr>
          <w:rFonts w:ascii="Open Sans" w:hAnsi="Open Sans" w:cs="Open Sans"/>
          <w:lang w:eastAsia="ja-JP"/>
        </w:rPr>
        <w:lastRenderedPageBreak/>
        <w:t>sheets, FAQs, and webinars. These are documents that you can find on OCTAE's webpage, which is another good place to search for answers in tandem with the statute and all applicable regulations.</w:t>
      </w:r>
    </w:p>
    <w:p w14:paraId="4CB6645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There are also several other legal resources that you can find linked in the Playbook. These include the AEFLA program homepage and OCTAE’s WIOA webpage, which are </w:t>
      </w:r>
      <w:proofErr w:type="gramStart"/>
      <w:r w:rsidRPr="00944CCC">
        <w:rPr>
          <w:rFonts w:ascii="Open Sans" w:hAnsi="Open Sans" w:cs="Open Sans"/>
          <w:lang w:eastAsia="ja-JP"/>
        </w:rPr>
        <w:t>really good</w:t>
      </w:r>
      <w:proofErr w:type="gramEnd"/>
      <w:r w:rsidRPr="00944CCC">
        <w:rPr>
          <w:rFonts w:ascii="Open Sans" w:hAnsi="Open Sans" w:cs="Open Sans"/>
          <w:lang w:eastAsia="ja-JP"/>
        </w:rPr>
        <w:t xml:space="preserve"> gateways to everything you need including the statute, regulations, and guidance. You’ll find links to the AEFLA program-specific regulations and to the WIOA joint regulations that we talked about earlier. </w:t>
      </w:r>
    </w:p>
    <w:p w14:paraId="0C33289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And there are links to EDGAR, the Uniform Guidance, and guidance.</w:t>
      </w:r>
    </w:p>
    <w:p w14:paraId="21A8959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Now, we know that this is a lot of information and OCTAE is here to support you as you learn more about the WIOA statute, the various regulations, and the guidance that has been issued.</w:t>
      </w:r>
    </w:p>
    <w:p w14:paraId="5B7FF4A2" w14:textId="77777777" w:rsidR="000C4C26" w:rsidRPr="00944CCC" w:rsidRDefault="00660262" w:rsidP="0056051A">
      <w:pPr>
        <w:rPr>
          <w:rFonts w:ascii="Open Sans" w:hAnsi="Open Sans" w:cs="Open Sans"/>
          <w:lang w:eastAsia="ja-JP"/>
        </w:rPr>
      </w:pPr>
      <w:r w:rsidRPr="00944CCC">
        <w:rPr>
          <w:rFonts w:ascii="Open Sans" w:hAnsi="Open Sans" w:cs="Open Sans"/>
          <w:lang w:eastAsia="ja-JP"/>
        </w:rPr>
        <w:t xml:space="preserve">We encourage State staff to check in with your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director with questions you may have, and State directors, please bring questions to your area coordinator.</w:t>
      </w:r>
    </w:p>
    <w:p w14:paraId="56D8D3D3" w14:textId="77777777" w:rsidR="000C4C26" w:rsidRPr="00944CCC" w:rsidRDefault="000C4C26" w:rsidP="0056051A">
      <w:pPr>
        <w:rPr>
          <w:rFonts w:ascii="Open Sans" w:hAnsi="Open Sans" w:cs="Open Sans"/>
          <w:lang w:eastAsia="ja-JP"/>
        </w:rPr>
      </w:pPr>
      <w:r w:rsidRPr="00944CCC">
        <w:rPr>
          <w:rFonts w:ascii="Open Sans" w:hAnsi="Open Sans" w:cs="Open Sans"/>
          <w:lang w:eastAsia="ja-JP"/>
        </w:rPr>
        <w:br w:type="page"/>
      </w:r>
    </w:p>
    <w:p w14:paraId="574331D9" w14:textId="77777777" w:rsidR="00660262" w:rsidRPr="00944CCC" w:rsidRDefault="00660262" w:rsidP="0056051A">
      <w:pPr>
        <w:pStyle w:val="Heading2"/>
        <w:rPr>
          <w:rFonts w:ascii="Open Sans" w:hAnsi="Open Sans" w:cs="Open Sans"/>
          <w:color w:val="032E53"/>
        </w:rPr>
      </w:pPr>
      <w:bookmarkStart w:id="20" w:name="_State_Plans_Under"/>
      <w:bookmarkStart w:id="21" w:name="_Toc163979986"/>
      <w:bookmarkStart w:id="22" w:name="_Toc171600466"/>
      <w:bookmarkEnd w:id="20"/>
      <w:r w:rsidRPr="00944CCC">
        <w:rPr>
          <w:rFonts w:ascii="Open Sans" w:hAnsi="Open Sans" w:cs="Open Sans"/>
          <w:color w:val="032E53"/>
        </w:rPr>
        <w:lastRenderedPageBreak/>
        <w:t>State Plans Under WIOA: Basic State Plans</w:t>
      </w:r>
      <w:bookmarkEnd w:id="21"/>
      <w:bookmarkEnd w:id="22"/>
    </w:p>
    <w:p w14:paraId="47DC36C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This video will </w:t>
      </w:r>
      <w:proofErr w:type="gramStart"/>
      <w:r w:rsidRPr="00944CCC">
        <w:rPr>
          <w:rFonts w:ascii="Open Sans" w:hAnsi="Open Sans" w:cs="Open Sans"/>
          <w:lang w:eastAsia="ja-JP"/>
        </w:rPr>
        <w:t>provide an introduction to</w:t>
      </w:r>
      <w:proofErr w:type="gramEnd"/>
      <w:r w:rsidRPr="00944CCC">
        <w:rPr>
          <w:rFonts w:ascii="Open Sans" w:hAnsi="Open Sans" w:cs="Open Sans"/>
          <w:lang w:eastAsia="ja-JP"/>
        </w:rPr>
        <w:t xml:space="preserve"> State plans and will help you understand how State plans are organized, submitted, and reviewed. This video is a part of a series of videos that will help you understand State plans under WIOA. </w:t>
      </w:r>
    </w:p>
    <w:p w14:paraId="662DA40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By watching these </w:t>
      </w:r>
      <w:proofErr w:type="gramStart"/>
      <w:r w:rsidRPr="00944CCC">
        <w:rPr>
          <w:rFonts w:ascii="Open Sans" w:hAnsi="Open Sans" w:cs="Open Sans"/>
          <w:lang w:eastAsia="ja-JP"/>
        </w:rPr>
        <w:t>videos</w:t>
      </w:r>
      <w:proofErr w:type="gramEnd"/>
      <w:r w:rsidRPr="00944CCC">
        <w:rPr>
          <w:rFonts w:ascii="Open Sans" w:hAnsi="Open Sans" w:cs="Open Sans"/>
          <w:lang w:eastAsia="ja-JP"/>
        </w:rPr>
        <w:t xml:space="preserve"> you will:</w:t>
      </w:r>
    </w:p>
    <w:p w14:paraId="7FFA0ABC" w14:textId="77777777" w:rsidR="00660262" w:rsidRPr="00944CCC" w:rsidRDefault="00660262" w:rsidP="0056051A">
      <w:pPr>
        <w:pStyle w:val="ListParagraph"/>
        <w:numPr>
          <w:ilvl w:val="0"/>
          <w:numId w:val="5"/>
        </w:numPr>
        <w:rPr>
          <w:rFonts w:ascii="Open Sans" w:hAnsi="Open Sans" w:cs="Open Sans"/>
          <w:lang w:eastAsia="ja-JP"/>
        </w:rPr>
      </w:pPr>
      <w:r w:rsidRPr="00944CCC">
        <w:rPr>
          <w:rFonts w:ascii="Open Sans" w:hAnsi="Open Sans" w:cs="Open Sans"/>
          <w:lang w:eastAsia="ja-JP"/>
        </w:rPr>
        <w:t>Gain an understanding of State plan basics, including the purpose, programs, elements, and submission of State plans</w:t>
      </w:r>
    </w:p>
    <w:p w14:paraId="367AD3F8" w14:textId="77777777" w:rsidR="00660262" w:rsidRPr="00944CCC" w:rsidRDefault="00660262" w:rsidP="0056051A">
      <w:pPr>
        <w:pStyle w:val="ListParagraph"/>
        <w:numPr>
          <w:ilvl w:val="0"/>
          <w:numId w:val="5"/>
        </w:numPr>
        <w:rPr>
          <w:rFonts w:ascii="Open Sans" w:hAnsi="Open Sans" w:cs="Open Sans"/>
          <w:lang w:eastAsia="ja-JP"/>
        </w:rPr>
      </w:pPr>
      <w:r w:rsidRPr="00944CCC">
        <w:rPr>
          <w:rFonts w:ascii="Open Sans" w:hAnsi="Open Sans" w:cs="Open Sans"/>
          <w:lang w:eastAsia="ja-JP"/>
        </w:rPr>
        <w:t>You will understand the modifications requirements for State plans, and</w:t>
      </w:r>
    </w:p>
    <w:p w14:paraId="2122ACBC" w14:textId="77777777" w:rsidR="00660262" w:rsidRPr="00944CCC" w:rsidRDefault="00660262" w:rsidP="0056051A">
      <w:pPr>
        <w:pStyle w:val="ListParagraph"/>
        <w:numPr>
          <w:ilvl w:val="0"/>
          <w:numId w:val="5"/>
        </w:numPr>
        <w:rPr>
          <w:rFonts w:ascii="Open Sans" w:hAnsi="Open Sans" w:cs="Open Sans"/>
          <w:lang w:eastAsia="ja-JP"/>
        </w:rPr>
      </w:pPr>
      <w:r w:rsidRPr="00944CCC">
        <w:rPr>
          <w:rFonts w:ascii="Open Sans" w:hAnsi="Open Sans" w:cs="Open Sans"/>
          <w:lang w:eastAsia="ja-JP"/>
        </w:rPr>
        <w:t>You will know how to access the WIOA State Plan Portal and view published State plans.</w:t>
      </w:r>
    </w:p>
    <w:p w14:paraId="4A49616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what we cover in this video, you can find more helpful resources in the Playbook.</w:t>
      </w:r>
    </w:p>
    <w:p w14:paraId="7C2A22E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this introductory video, we’ll take you through the two types of State plans – unified and combined – as well as the process for developing and submitting your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plan. We will also indicate where to find information about State plans in the WIOA statute and the regulations.</w:t>
      </w:r>
    </w:p>
    <w:p w14:paraId="7789CF22" w14:textId="77777777" w:rsidR="00660262" w:rsidRPr="00944CCC" w:rsidRDefault="00660262" w:rsidP="00944CCC">
      <w:pPr>
        <w:pStyle w:val="Heading3"/>
      </w:pPr>
      <w:bookmarkStart w:id="23" w:name="_Toc163979987"/>
      <w:bookmarkStart w:id="24" w:name="_Toc171600467"/>
      <w:r w:rsidRPr="00944CCC">
        <w:t>Introduction to State plans</w:t>
      </w:r>
      <w:bookmarkEnd w:id="23"/>
      <w:bookmarkEnd w:id="24"/>
    </w:p>
    <w:p w14:paraId="7CDC35A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Ok, so first off, what is a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plan? The State plan is a road map of how the core programs and partner agencies will collaborate to administer and implement the Workforce Innovation and Opportunity Act, also known as WIOA. State plans address the requirements of the legislation and regulations. State plans also inform potential service providers of the competitive process to become a service provider, and they inform the public about their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workforce training and education systems.</w:t>
      </w:r>
    </w:p>
    <w:p w14:paraId="2703FE19" w14:textId="77777777" w:rsidR="00660262" w:rsidRPr="00944CCC" w:rsidRDefault="00660262" w:rsidP="0056051A">
      <w:pPr>
        <w:rPr>
          <w:rFonts w:ascii="Open Sans" w:hAnsi="Open Sans" w:cs="Open Sans"/>
          <w:b/>
          <w:bCs/>
          <w:lang w:eastAsia="ja-JP"/>
        </w:rPr>
      </w:pPr>
      <w:r w:rsidRPr="00944CCC">
        <w:rPr>
          <w:rFonts w:ascii="Open Sans" w:hAnsi="Open Sans" w:cs="Open Sans"/>
          <w:lang w:eastAsia="ja-JP"/>
        </w:rPr>
        <w:t>Without this understanding, a State runs the risk of a program not being fully integrated in the State’s vision for WIOA, and not being included in the State’s effort to build an education and workforce system that is connected across the WIOA programs.</w:t>
      </w:r>
    </w:p>
    <w:p w14:paraId="5F37CD3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So here is some basic State plan information that a new State director and State staff need to be familiar with.</w:t>
      </w:r>
    </w:p>
    <w:p w14:paraId="7AC973E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State plan governing authority and purpose </w:t>
      </w:r>
      <w:proofErr w:type="gramStart"/>
      <w:r w:rsidRPr="00944CCC">
        <w:rPr>
          <w:rFonts w:ascii="Open Sans" w:hAnsi="Open Sans" w:cs="Open Sans"/>
          <w:lang w:eastAsia="ja-JP"/>
        </w:rPr>
        <w:t>is located in</w:t>
      </w:r>
      <w:proofErr w:type="gramEnd"/>
      <w:r w:rsidRPr="00944CCC">
        <w:rPr>
          <w:rFonts w:ascii="Open Sans" w:hAnsi="Open Sans" w:cs="Open Sans"/>
          <w:lang w:eastAsia="ja-JP"/>
        </w:rPr>
        <w:t xml:space="preserve"> the WIOA statute.  Each governor of a State or Outlying Area must submit a four-year plan to the Secretary of the U.S. Department of Labor (DOL) to be eligible to receive funding for the core programs.</w:t>
      </w:r>
    </w:p>
    <w:p w14:paraId="1D7131F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There are two different options for submitting a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plan.</w:t>
      </w:r>
    </w:p>
    <w:p w14:paraId="1A97066F" w14:textId="77777777" w:rsidR="00660262" w:rsidRPr="00944CCC" w:rsidRDefault="00660262" w:rsidP="0056051A">
      <w:pPr>
        <w:pStyle w:val="ListParagraph"/>
        <w:numPr>
          <w:ilvl w:val="0"/>
          <w:numId w:val="6"/>
        </w:numPr>
        <w:rPr>
          <w:rFonts w:ascii="Open Sans" w:hAnsi="Open Sans" w:cs="Open Sans"/>
          <w:lang w:eastAsia="ja-JP"/>
        </w:rPr>
      </w:pPr>
      <w:r w:rsidRPr="00944CCC">
        <w:rPr>
          <w:rFonts w:ascii="Open Sans" w:hAnsi="Open Sans" w:cs="Open Sans"/>
          <w:lang w:eastAsia="ja-JP"/>
        </w:rPr>
        <w:lastRenderedPageBreak/>
        <w:t>States can submit a unified plan</w:t>
      </w:r>
      <w:r w:rsidRPr="00944CCC">
        <w:rPr>
          <w:rFonts w:ascii="Open Sans" w:hAnsi="Open Sans" w:cs="Open Sans"/>
          <w:b/>
          <w:bCs/>
          <w:lang w:eastAsia="ja-JP"/>
        </w:rPr>
        <w:t xml:space="preserve"> </w:t>
      </w:r>
      <w:r w:rsidRPr="00944CCC">
        <w:rPr>
          <w:rFonts w:ascii="Open Sans" w:hAnsi="Open Sans" w:cs="Open Sans"/>
          <w:lang w:eastAsia="ja-JP"/>
        </w:rPr>
        <w:t>as described in section 102 of WIOA, that includes only the six core programs.</w:t>
      </w:r>
    </w:p>
    <w:p w14:paraId="2EDE9629" w14:textId="77777777" w:rsidR="00660262" w:rsidRPr="00944CCC" w:rsidRDefault="00660262" w:rsidP="0056051A">
      <w:pPr>
        <w:pStyle w:val="ListParagraph"/>
        <w:numPr>
          <w:ilvl w:val="0"/>
          <w:numId w:val="6"/>
        </w:numPr>
        <w:rPr>
          <w:rFonts w:ascii="Open Sans" w:hAnsi="Open Sans" w:cs="Open Sans"/>
          <w:lang w:eastAsia="ja-JP"/>
        </w:rPr>
      </w:pPr>
      <w:r w:rsidRPr="00944CCC">
        <w:rPr>
          <w:rFonts w:ascii="Open Sans" w:hAnsi="Open Sans" w:cs="Open Sans"/>
          <w:lang w:eastAsia="ja-JP"/>
        </w:rPr>
        <w:t>Or States can choose to submit a combined plan</w:t>
      </w:r>
      <w:r w:rsidRPr="00944CCC">
        <w:rPr>
          <w:rFonts w:ascii="Open Sans" w:hAnsi="Open Sans" w:cs="Open Sans"/>
          <w:b/>
          <w:bCs/>
          <w:lang w:eastAsia="ja-JP"/>
        </w:rPr>
        <w:t xml:space="preserve"> </w:t>
      </w:r>
      <w:r w:rsidRPr="00944CCC">
        <w:rPr>
          <w:rFonts w:ascii="Open Sans" w:hAnsi="Open Sans" w:cs="Open Sans"/>
          <w:lang w:eastAsia="ja-JP"/>
        </w:rPr>
        <w:t>as described in section 103 of WIOA which includes the six core programs and other allowable partner programs that are identified in the statute.</w:t>
      </w:r>
    </w:p>
    <w:p w14:paraId="2C33617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plans are approved by the Secretaries of Labor and Education and the secretaries of any agencies for the combined partner programs that a State included.</w:t>
      </w:r>
    </w:p>
    <w:p w14:paraId="4A2EB90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So, if for example a State submitted a combined plan with the Temporary Assistance for Needy Families, or TANF, program, then the secretary of Health and Human Services, or HHS, would need to approve the plan as well as the secretaries of Education and Labor.</w:t>
      </w:r>
    </w:p>
    <w:p w14:paraId="7D7DB84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the State plan requirements in the WIOA statute, the Departments of Education and Labor developed joint regulations for State plan submissions and each agency published the regulations under their agency’s respective sections of the Code of Federal Regulations, or CFR.</w:t>
      </w:r>
    </w:p>
    <w:p w14:paraId="5B13817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You can find the Adult Education and Family Literacy Act, or AEFLA, final regulations for State plans in 34 CFR part 463 subpart H.</w:t>
      </w:r>
    </w:p>
    <w:p w14:paraId="165A8DD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addition to Governors submitting four-year plans, there is a statutory requirement that they also submit modifications to their four-year plans at the two-year mark.  Submission and review processes for modifications follow the same process used when the four-year plans are first submitted. </w:t>
      </w:r>
    </w:p>
    <w:p w14:paraId="2B015D1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first four-year WIOA State plans were submitted in 2016, so those plans were modified two years later in 2018. Since 2016, State plans have </w:t>
      </w:r>
      <w:proofErr w:type="gramStart"/>
      <w:r w:rsidRPr="00944CCC">
        <w:rPr>
          <w:rFonts w:ascii="Open Sans" w:hAnsi="Open Sans" w:cs="Open Sans"/>
          <w:lang w:eastAsia="ja-JP"/>
        </w:rPr>
        <w:t>continued on</w:t>
      </w:r>
      <w:proofErr w:type="gramEnd"/>
      <w:r w:rsidRPr="00944CCC">
        <w:rPr>
          <w:rFonts w:ascii="Open Sans" w:hAnsi="Open Sans" w:cs="Open Sans"/>
          <w:lang w:eastAsia="ja-JP"/>
        </w:rPr>
        <w:t xml:space="preserve"> this four-year plan cycle, with required two-year modifications.</w:t>
      </w:r>
    </w:p>
    <w:p w14:paraId="6E5DBE6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Both unified and combined State plans must include at a minimum all six of the core programs. Four of the core programs are administered by the U.S Department of Labor, or DOL, and two are administered by the U.S. Department of Education, or ED.</w:t>
      </w:r>
    </w:p>
    <w:p w14:paraId="1D5D8CD2" w14:textId="77777777" w:rsidR="00660262" w:rsidRPr="00944CCC" w:rsidRDefault="00660262" w:rsidP="0056051A">
      <w:pPr>
        <w:pStyle w:val="ListParagraph"/>
        <w:numPr>
          <w:ilvl w:val="0"/>
          <w:numId w:val="7"/>
        </w:numPr>
        <w:rPr>
          <w:rFonts w:ascii="Open Sans" w:hAnsi="Open Sans" w:cs="Open Sans"/>
          <w:lang w:eastAsia="ja-JP"/>
        </w:rPr>
      </w:pPr>
      <w:r w:rsidRPr="00944CCC">
        <w:rPr>
          <w:rFonts w:ascii="Open Sans" w:hAnsi="Open Sans" w:cs="Open Sans"/>
          <w:lang w:eastAsia="ja-JP"/>
        </w:rPr>
        <w:t xml:space="preserve">The core programs administered by DOL are located in both title I of WIOA, which includes the </w:t>
      </w:r>
      <w:proofErr w:type="gramStart"/>
      <w:r w:rsidRPr="00944CCC">
        <w:rPr>
          <w:rFonts w:ascii="Open Sans" w:hAnsi="Open Sans" w:cs="Open Sans"/>
          <w:lang w:eastAsia="ja-JP"/>
        </w:rPr>
        <w:t>Adult</w:t>
      </w:r>
      <w:proofErr w:type="gramEnd"/>
      <w:r w:rsidRPr="00944CCC">
        <w:rPr>
          <w:rFonts w:ascii="Open Sans" w:hAnsi="Open Sans" w:cs="Open Sans"/>
          <w:lang w:eastAsia="ja-JP"/>
        </w:rPr>
        <w:t xml:space="preserve"> program, the Dislocated Worker program, and the Youth program, and also in title III of WIOA which is the Wagner-Peyser Act program, also known as Employment Services.</w:t>
      </w:r>
    </w:p>
    <w:p w14:paraId="28F01840" w14:textId="77777777" w:rsidR="00660262" w:rsidRPr="00944CCC" w:rsidRDefault="00660262" w:rsidP="0056051A">
      <w:pPr>
        <w:pStyle w:val="ListParagraph"/>
        <w:numPr>
          <w:ilvl w:val="0"/>
          <w:numId w:val="7"/>
        </w:numPr>
        <w:rPr>
          <w:rFonts w:ascii="Open Sans" w:hAnsi="Open Sans" w:cs="Open Sans"/>
          <w:lang w:eastAsia="ja-JP"/>
        </w:rPr>
      </w:pPr>
      <w:r w:rsidRPr="00944CCC">
        <w:rPr>
          <w:rFonts w:ascii="Open Sans" w:hAnsi="Open Sans" w:cs="Open Sans"/>
          <w:lang w:eastAsia="ja-JP"/>
        </w:rPr>
        <w:t xml:space="preserve">The ED administered programs are the title II Adult Education and Family Literacy Act program, known as AEFLA, as well as the title IV Vocational Rehabilitation program, which is </w:t>
      </w:r>
      <w:proofErr w:type="gramStart"/>
      <w:r w:rsidRPr="00944CCC">
        <w:rPr>
          <w:rFonts w:ascii="Open Sans" w:hAnsi="Open Sans" w:cs="Open Sans"/>
          <w:lang w:eastAsia="ja-JP"/>
        </w:rPr>
        <w:t>actually title</w:t>
      </w:r>
      <w:proofErr w:type="gramEnd"/>
      <w:r w:rsidRPr="00944CCC">
        <w:rPr>
          <w:rFonts w:ascii="Open Sans" w:hAnsi="Open Sans" w:cs="Open Sans"/>
          <w:lang w:eastAsia="ja-JP"/>
        </w:rPr>
        <w:t xml:space="preserve"> I of the Rehabilitation Act of 1973.</w:t>
      </w:r>
    </w:p>
    <w:p w14:paraId="1DDF1F6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State directors can see which type of State plan was submitted by the State in the past by accessing the WIOA State Plan Portal, found at wioaplans.ed.gov. The State Plan Portal is an important resource for viewing, writing, and publishing State plans. We have another video that gives a quick overview of the portal, so be sure to check that out.</w:t>
      </w:r>
    </w:p>
    <w:p w14:paraId="13C559B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Ok, so unified plans and combined plans must include the six core programs, but combined plans will also include combined partner programs that a State chooses to include. The combined partner programs are defined in WIOA and include any of the following partner programs: </w:t>
      </w:r>
    </w:p>
    <w:p w14:paraId="150F6F0A" w14:textId="77777777" w:rsidR="00660262" w:rsidRPr="00944CCC" w:rsidRDefault="00660262" w:rsidP="0056051A">
      <w:pPr>
        <w:pStyle w:val="ListParagraph"/>
        <w:numPr>
          <w:ilvl w:val="0"/>
          <w:numId w:val="8"/>
        </w:numPr>
        <w:rPr>
          <w:rFonts w:ascii="Open Sans" w:hAnsi="Open Sans" w:cs="Open Sans"/>
          <w:lang w:eastAsia="ja-JP"/>
        </w:rPr>
      </w:pPr>
      <w:r w:rsidRPr="00944CCC">
        <w:rPr>
          <w:rFonts w:ascii="Open Sans" w:hAnsi="Open Sans" w:cs="Open Sans"/>
          <w:lang w:eastAsia="ja-JP"/>
        </w:rPr>
        <w:t>ED-administered Career and Technical Education program authorized under the Carl D. Perkins Career and Technical Education Act of 2006, or Perkins</w:t>
      </w:r>
    </w:p>
    <w:p w14:paraId="0C2396E5" w14:textId="77777777" w:rsidR="00660262" w:rsidRPr="00944CCC" w:rsidRDefault="00660262" w:rsidP="0056051A">
      <w:pPr>
        <w:pStyle w:val="ListParagraph"/>
        <w:numPr>
          <w:ilvl w:val="0"/>
          <w:numId w:val="8"/>
        </w:numPr>
        <w:rPr>
          <w:rFonts w:ascii="Open Sans" w:hAnsi="Open Sans" w:cs="Open Sans"/>
          <w:lang w:eastAsia="ja-JP"/>
        </w:rPr>
      </w:pPr>
      <w:r w:rsidRPr="00944CCC">
        <w:rPr>
          <w:rFonts w:ascii="Open Sans" w:hAnsi="Open Sans" w:cs="Open Sans"/>
          <w:lang w:eastAsia="ja-JP"/>
        </w:rPr>
        <w:t>The DOL-administered possible combined programs are:</w:t>
      </w:r>
    </w:p>
    <w:p w14:paraId="4C6094E0" w14:textId="77777777" w:rsidR="00660262" w:rsidRPr="00944CCC" w:rsidRDefault="00660262" w:rsidP="0056051A">
      <w:pPr>
        <w:pStyle w:val="ListParagraph"/>
        <w:numPr>
          <w:ilvl w:val="1"/>
          <w:numId w:val="8"/>
        </w:numPr>
        <w:rPr>
          <w:rFonts w:ascii="Open Sans" w:hAnsi="Open Sans" w:cs="Open Sans"/>
          <w:lang w:eastAsia="ja-JP"/>
        </w:rPr>
      </w:pPr>
      <w:r w:rsidRPr="00944CCC">
        <w:rPr>
          <w:rFonts w:ascii="Open Sans" w:hAnsi="Open Sans" w:cs="Open Sans"/>
          <w:lang w:eastAsia="ja-JP"/>
        </w:rPr>
        <w:t>Trade Adjustment Assistance for Workers program, or TAA</w:t>
      </w:r>
    </w:p>
    <w:p w14:paraId="303C2C5E" w14:textId="77777777" w:rsidR="00660262" w:rsidRPr="00944CCC" w:rsidRDefault="00660262" w:rsidP="0056051A">
      <w:pPr>
        <w:pStyle w:val="ListParagraph"/>
        <w:numPr>
          <w:ilvl w:val="1"/>
          <w:numId w:val="8"/>
        </w:numPr>
        <w:rPr>
          <w:rFonts w:ascii="Open Sans" w:hAnsi="Open Sans" w:cs="Open Sans"/>
          <w:lang w:eastAsia="ja-JP"/>
        </w:rPr>
      </w:pPr>
      <w:r w:rsidRPr="00944CCC">
        <w:rPr>
          <w:rFonts w:ascii="Open Sans" w:hAnsi="Open Sans" w:cs="Open Sans"/>
          <w:lang w:eastAsia="ja-JP"/>
        </w:rPr>
        <w:t>Jobs for Veterans State Grants program, or JVSG</w:t>
      </w:r>
    </w:p>
    <w:p w14:paraId="0F7EE792" w14:textId="77777777" w:rsidR="00660262" w:rsidRPr="00944CCC" w:rsidRDefault="00660262" w:rsidP="0056051A">
      <w:pPr>
        <w:pStyle w:val="ListParagraph"/>
        <w:numPr>
          <w:ilvl w:val="1"/>
          <w:numId w:val="8"/>
        </w:numPr>
        <w:rPr>
          <w:rFonts w:ascii="Open Sans" w:hAnsi="Open Sans" w:cs="Open Sans"/>
          <w:lang w:eastAsia="ja-JP"/>
        </w:rPr>
      </w:pPr>
      <w:r w:rsidRPr="00944CCC">
        <w:rPr>
          <w:rFonts w:ascii="Open Sans" w:hAnsi="Open Sans" w:cs="Open Sans"/>
          <w:lang w:eastAsia="ja-JP"/>
        </w:rPr>
        <w:t>Unemployment Insurance program, programs authorized under State unemployment compensation laws in accordance with applicable Federal law, or UI, and</w:t>
      </w:r>
    </w:p>
    <w:p w14:paraId="12868237" w14:textId="77777777" w:rsidR="00660262" w:rsidRPr="00944CCC" w:rsidRDefault="00660262" w:rsidP="0056051A">
      <w:pPr>
        <w:pStyle w:val="ListParagraph"/>
        <w:numPr>
          <w:ilvl w:val="1"/>
          <w:numId w:val="8"/>
        </w:numPr>
        <w:rPr>
          <w:rFonts w:ascii="Open Sans" w:hAnsi="Open Sans" w:cs="Open Sans"/>
          <w:lang w:eastAsia="ja-JP"/>
        </w:rPr>
      </w:pPr>
      <w:r w:rsidRPr="00944CCC">
        <w:rPr>
          <w:rFonts w:ascii="Open Sans" w:hAnsi="Open Sans" w:cs="Open Sans"/>
          <w:lang w:eastAsia="ja-JP"/>
        </w:rPr>
        <w:t>Senior Community Service Employment program, or SCSEP</w:t>
      </w:r>
    </w:p>
    <w:p w14:paraId="4D3E37F8" w14:textId="77777777" w:rsidR="00660262" w:rsidRPr="00944CCC" w:rsidRDefault="00660262" w:rsidP="0056051A">
      <w:pPr>
        <w:pStyle w:val="ListParagraph"/>
        <w:numPr>
          <w:ilvl w:val="0"/>
          <w:numId w:val="8"/>
        </w:numPr>
        <w:rPr>
          <w:rFonts w:ascii="Open Sans" w:hAnsi="Open Sans" w:cs="Open Sans"/>
          <w:lang w:eastAsia="ja-JP"/>
        </w:rPr>
      </w:pPr>
      <w:r w:rsidRPr="00944CCC">
        <w:rPr>
          <w:rFonts w:ascii="Open Sans" w:hAnsi="Open Sans" w:cs="Open Sans"/>
          <w:lang w:eastAsia="ja-JP"/>
        </w:rPr>
        <w:t>The Department of Health and Human Services-administered possible combined programs are:</w:t>
      </w:r>
    </w:p>
    <w:p w14:paraId="66F60394" w14:textId="77777777" w:rsidR="00660262" w:rsidRPr="00944CCC" w:rsidRDefault="00660262" w:rsidP="0056051A">
      <w:pPr>
        <w:pStyle w:val="ListParagraph"/>
        <w:numPr>
          <w:ilvl w:val="1"/>
          <w:numId w:val="8"/>
        </w:numPr>
        <w:rPr>
          <w:rFonts w:ascii="Open Sans" w:hAnsi="Open Sans" w:cs="Open Sans"/>
          <w:lang w:eastAsia="ja-JP"/>
        </w:rPr>
      </w:pPr>
      <w:r w:rsidRPr="00944CCC">
        <w:rPr>
          <w:rFonts w:ascii="Open Sans" w:hAnsi="Open Sans" w:cs="Open Sans"/>
          <w:lang w:eastAsia="ja-JP"/>
        </w:rPr>
        <w:t>Temporary Assistance for Needy Families, or TANF, and</w:t>
      </w:r>
    </w:p>
    <w:p w14:paraId="06F4207B" w14:textId="77777777" w:rsidR="00660262" w:rsidRPr="00944CCC" w:rsidRDefault="00660262" w:rsidP="0056051A">
      <w:pPr>
        <w:pStyle w:val="ListParagraph"/>
        <w:numPr>
          <w:ilvl w:val="1"/>
          <w:numId w:val="8"/>
        </w:numPr>
        <w:rPr>
          <w:rFonts w:ascii="Open Sans" w:hAnsi="Open Sans" w:cs="Open Sans"/>
          <w:lang w:eastAsia="ja-JP"/>
        </w:rPr>
      </w:pPr>
      <w:r w:rsidRPr="00944CCC">
        <w:rPr>
          <w:rFonts w:ascii="Open Sans" w:hAnsi="Open Sans" w:cs="Open Sans"/>
          <w:lang w:eastAsia="ja-JP"/>
        </w:rPr>
        <w:t>Community Services Block Grant, or CSBG</w:t>
      </w:r>
    </w:p>
    <w:p w14:paraId="5E8ECEBF" w14:textId="77777777" w:rsidR="00660262" w:rsidRPr="00944CCC" w:rsidRDefault="00660262" w:rsidP="0056051A">
      <w:pPr>
        <w:pStyle w:val="ListParagraph"/>
        <w:numPr>
          <w:ilvl w:val="0"/>
          <w:numId w:val="8"/>
        </w:numPr>
        <w:rPr>
          <w:rFonts w:ascii="Open Sans" w:hAnsi="Open Sans" w:cs="Open Sans"/>
          <w:lang w:eastAsia="ja-JP"/>
        </w:rPr>
      </w:pPr>
      <w:r w:rsidRPr="00944CCC">
        <w:rPr>
          <w:rFonts w:ascii="Open Sans" w:hAnsi="Open Sans" w:cs="Open Sans"/>
          <w:lang w:eastAsia="ja-JP"/>
        </w:rPr>
        <w:t>The Department of Agriculture-administered possible combined programs are:</w:t>
      </w:r>
    </w:p>
    <w:p w14:paraId="279E5AD7" w14:textId="77777777" w:rsidR="00660262" w:rsidRPr="00944CCC" w:rsidRDefault="00660262" w:rsidP="0056051A">
      <w:pPr>
        <w:pStyle w:val="ListParagraph"/>
        <w:numPr>
          <w:ilvl w:val="1"/>
          <w:numId w:val="8"/>
        </w:numPr>
        <w:rPr>
          <w:rFonts w:ascii="Open Sans" w:hAnsi="Open Sans" w:cs="Open Sans"/>
          <w:lang w:eastAsia="ja-JP"/>
        </w:rPr>
      </w:pPr>
      <w:r w:rsidRPr="00944CCC">
        <w:rPr>
          <w:rFonts w:ascii="Open Sans" w:hAnsi="Open Sans" w:cs="Open Sans"/>
          <w:lang w:eastAsia="ja-JP"/>
        </w:rPr>
        <w:t>The employment and training programs under the Supplemental Nutrition Assistance Program, or SNAP</w:t>
      </w:r>
    </w:p>
    <w:p w14:paraId="010FC1B3" w14:textId="77777777" w:rsidR="00660262" w:rsidRPr="00944CCC" w:rsidRDefault="00660262" w:rsidP="0056051A">
      <w:pPr>
        <w:pStyle w:val="ListParagraph"/>
        <w:numPr>
          <w:ilvl w:val="0"/>
          <w:numId w:val="8"/>
        </w:numPr>
        <w:rPr>
          <w:rFonts w:ascii="Open Sans" w:hAnsi="Open Sans" w:cs="Open Sans"/>
          <w:lang w:eastAsia="ja-JP"/>
        </w:rPr>
      </w:pPr>
      <w:r w:rsidRPr="00944CCC">
        <w:rPr>
          <w:rFonts w:ascii="Open Sans" w:hAnsi="Open Sans" w:cs="Open Sans"/>
          <w:lang w:eastAsia="ja-JP"/>
        </w:rPr>
        <w:t>The Department of Housing and Urban Development or HUD-administered possible combined programs are:</w:t>
      </w:r>
    </w:p>
    <w:p w14:paraId="5486B077" w14:textId="77777777" w:rsidR="00660262" w:rsidRPr="00944CCC" w:rsidRDefault="00660262" w:rsidP="0056051A">
      <w:pPr>
        <w:pStyle w:val="ListParagraph"/>
        <w:numPr>
          <w:ilvl w:val="1"/>
          <w:numId w:val="8"/>
        </w:numPr>
        <w:rPr>
          <w:rFonts w:ascii="Open Sans" w:hAnsi="Open Sans" w:cs="Open Sans"/>
          <w:lang w:eastAsia="ja-JP"/>
        </w:rPr>
      </w:pPr>
      <w:r w:rsidRPr="00944CCC">
        <w:rPr>
          <w:rFonts w:ascii="Open Sans" w:hAnsi="Open Sans" w:cs="Open Sans"/>
          <w:lang w:eastAsia="ja-JP"/>
        </w:rPr>
        <w:t>The employment and training activities carried out by HUD</w:t>
      </w:r>
    </w:p>
    <w:p w14:paraId="4E2CA72A" w14:textId="77777777" w:rsidR="00660262" w:rsidRPr="00944CCC" w:rsidRDefault="00660262" w:rsidP="00944CCC">
      <w:pPr>
        <w:pStyle w:val="Heading3"/>
      </w:pPr>
      <w:bookmarkStart w:id="25" w:name="_Toc163979988"/>
      <w:bookmarkStart w:id="26" w:name="_Toc171600468"/>
      <w:r w:rsidRPr="00944CCC">
        <w:t>Submission and Review of State plans</w:t>
      </w:r>
      <w:bookmarkEnd w:id="25"/>
      <w:bookmarkEnd w:id="26"/>
    </w:p>
    <w:p w14:paraId="2215C4B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Now that you have an idea of the two types of State plans, let’s go over the State plan submission and review process. The submission and review processes are very thorough. They are managed through a steering committee, which is made up of representatives from each of the core program agencies and includes over 250 </w:t>
      </w:r>
      <w:r w:rsidRPr="00944CCC">
        <w:rPr>
          <w:rFonts w:ascii="Open Sans" w:hAnsi="Open Sans" w:cs="Open Sans"/>
          <w:lang w:eastAsia="ja-JP"/>
        </w:rPr>
        <w:lastRenderedPageBreak/>
        <w:t>federal reviewers nationwide from the respective agencies. Each State plan’s federal review team consists of approximately five to 10 reviewers.</w:t>
      </w:r>
    </w:p>
    <w:p w14:paraId="3828346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Let’s walk through the submission process step by step. Well in advance of the State plan submission due date, core programs in a State begin collaborating. If the plan is a combined </w:t>
      </w:r>
      <w:proofErr w:type="gramStart"/>
      <w:r w:rsidRPr="00944CCC">
        <w:rPr>
          <w:rFonts w:ascii="Open Sans" w:hAnsi="Open Sans" w:cs="Open Sans"/>
          <w:lang w:eastAsia="ja-JP"/>
        </w:rPr>
        <w:t>plan</w:t>
      </w:r>
      <w:proofErr w:type="gramEnd"/>
      <w:r w:rsidRPr="00944CCC">
        <w:rPr>
          <w:rFonts w:ascii="Open Sans" w:hAnsi="Open Sans" w:cs="Open Sans"/>
          <w:lang w:eastAsia="ja-JP"/>
        </w:rPr>
        <w:t xml:space="preserve"> then combined partner programs are included in the collaboration as well. The State and any partners develop the State plan narratives which emphasize an integrated workforce delivery approach as well as State priorities. Once the narratives are written, the draft plan is then put out for public comment in the State. The State considers the public comments and finalizes its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plan. The State plan is then submitted to the Secretary of Labor by a designee in the Governor’s office using the WIOA State Plan Portal.</w:t>
      </w:r>
    </w:p>
    <w:p w14:paraId="796F861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Once the plan is submitted by the Governor's designee, the review teams from the federal offices of the core partners and any combined plan partners begin scheduling and conducting reviews. The federal review team reads the plans, identifies areas that may need revising, meets to discuss the narratives, and comes to consensus on the plans. The federal review teams either accept the narratives as they have been written or go back to the State and ask the State to make clarifications or to make revisions that address compliance or clarity issues in the plan. Once that process is complete, the steering committee recommends approval or conditional approval, for those plans that are undergoing revision, to the Secretaries of Education and Labor. Once the plans are approved by the Secretaries, they are published on the WIOA State Plan Portal.</w:t>
      </w:r>
    </w:p>
    <w:p w14:paraId="46793545" w14:textId="77777777" w:rsidR="00660262" w:rsidRPr="00944CCC" w:rsidRDefault="00660262" w:rsidP="0056051A">
      <w:pPr>
        <w:rPr>
          <w:rFonts w:ascii="Open Sans" w:hAnsi="Open Sans" w:cs="Open Sans"/>
          <w:lang w:eastAsia="ja-JP"/>
        </w:rPr>
      </w:pPr>
      <w:proofErr w:type="gramStart"/>
      <w:r w:rsidRPr="00944CCC">
        <w:rPr>
          <w:rFonts w:ascii="Open Sans" w:hAnsi="Open Sans" w:cs="Open Sans"/>
          <w:lang w:eastAsia="ja-JP"/>
        </w:rPr>
        <w:t>Later on</w:t>
      </w:r>
      <w:proofErr w:type="gramEnd"/>
      <w:r w:rsidRPr="00944CCC">
        <w:rPr>
          <w:rFonts w:ascii="Open Sans" w:hAnsi="Open Sans" w:cs="Open Sans"/>
          <w:lang w:eastAsia="ja-JP"/>
        </w:rPr>
        <w:t>, we’ll get into more detail about the actual writing of the State plan and how to develop high-quality narratives. But now you have an overview of the State plan process from planning through review and submission.</w:t>
      </w:r>
    </w:p>
    <w:p w14:paraId="32FD620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Because State plans address statutory and regulatory requirements, they include a lot of important information. You might wonder, “What allows the federal agencies to collect the information contained in a State plan from the States?”</w:t>
      </w:r>
    </w:p>
    <w:p w14:paraId="3DA63E5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Federal agencies are responsible for developing an Information Collection Request, or ICR through a rigorous process. Once developed within an agency, the agency then submits the ICR to the Office of Management and Budget, or OMB. OMB then manages a public comment period for people to weigh in on the questions contained in the ICR, including the burden and cost of answering those questions. State directors and staff are welcome to participate in the public comment process of an ICR. The State plan ICR contains </w:t>
      </w:r>
      <w:proofErr w:type="gramStart"/>
      <w:r w:rsidRPr="00944CCC">
        <w:rPr>
          <w:rFonts w:ascii="Open Sans" w:hAnsi="Open Sans" w:cs="Open Sans"/>
          <w:lang w:eastAsia="ja-JP"/>
        </w:rPr>
        <w:t>all of</w:t>
      </w:r>
      <w:proofErr w:type="gramEnd"/>
      <w:r w:rsidRPr="00944CCC">
        <w:rPr>
          <w:rFonts w:ascii="Open Sans" w:hAnsi="Open Sans" w:cs="Open Sans"/>
          <w:lang w:eastAsia="ja-JP"/>
        </w:rPr>
        <w:t xml:space="preserve"> the data elements, meaning the questions that a State is required to answer as part of the State plan, according to the WIOA statute and regulations. The ICR must be cleared through OMB every three years.</w:t>
      </w:r>
    </w:p>
    <w:p w14:paraId="2DB39336" w14:textId="77777777" w:rsidR="00660262" w:rsidRPr="00944CCC" w:rsidRDefault="00660262" w:rsidP="00944CCC">
      <w:pPr>
        <w:pStyle w:val="Heading3"/>
      </w:pPr>
      <w:bookmarkStart w:id="27" w:name="_Toc163979989"/>
      <w:bookmarkStart w:id="28" w:name="_Toc171600469"/>
      <w:r w:rsidRPr="00944CCC">
        <w:lastRenderedPageBreak/>
        <w:t xml:space="preserve">Writing a </w:t>
      </w:r>
      <w:proofErr w:type="gramStart"/>
      <w:r w:rsidRPr="00944CCC">
        <w:t>State</w:t>
      </w:r>
      <w:proofErr w:type="gramEnd"/>
      <w:r w:rsidRPr="00944CCC">
        <w:t xml:space="preserve"> plan</w:t>
      </w:r>
      <w:bookmarkEnd w:id="27"/>
      <w:bookmarkEnd w:id="28"/>
    </w:p>
    <w:p w14:paraId="5D234A2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Ok, so we know that there are two types of State plans and that they are submitted every four years, with required modifications after two years. Now, let’s get into the actual writing of the State plan.</w:t>
      </w:r>
    </w:p>
    <w:p w14:paraId="2DE04AE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There are two major sections at the beginning of a State plan that all WIOA partners collaborate in writing called the Common Elements. The Common Elements include the Strategic Planning Elements and the Operational Planning Elements. </w:t>
      </w:r>
      <w:proofErr w:type="gramStart"/>
      <w:r w:rsidRPr="00944CCC">
        <w:rPr>
          <w:rFonts w:ascii="Open Sans" w:hAnsi="Open Sans" w:cs="Open Sans"/>
          <w:lang w:eastAsia="ja-JP"/>
        </w:rPr>
        <w:t>In order for</w:t>
      </w:r>
      <w:proofErr w:type="gramEnd"/>
      <w:r w:rsidRPr="00944CCC">
        <w:rPr>
          <w:rFonts w:ascii="Open Sans" w:hAnsi="Open Sans" w:cs="Open Sans"/>
          <w:lang w:eastAsia="ja-JP"/>
        </w:rPr>
        <w:t xml:space="preserve"> a State to develop a robust, comprehensive State plan that includes interagency service delivery under WIOA, all programs that are included in the plan should contribute to the Common Elements. </w:t>
      </w:r>
    </w:p>
    <w:p w14:paraId="10A560A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State plan also includes a section for writing program-specific narratives for each core program and any combined partner programs. This is the section of the plan where the AEFLA State director or designee has permissions to enter the State’s AEFLA program narrative information. The State director also approves State staff to serve as editors in this AEFLA section in the State Plan Portal.</w:t>
      </w:r>
    </w:p>
    <w:p w14:paraId="3378872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Following the program-specific narratives are the certificates, assurances, and the General Education Provisions Act requirement that each State must complete.</w:t>
      </w:r>
    </w:p>
    <w:p w14:paraId="31E5E9B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Then, State directors enter expected levels of performance data for the next two years into the Performance Indicator Table. This table of expected Levels of Performance is also put out for public comment. The negotiation columns in the table in this section are left blank at the time of the original State plan submission. Negotiations on expected levels of performance take place during the State plan review. After negotiations conclude federal staff will reopen the portal and the State can enter their negotiated levels in the table.</w:t>
      </w:r>
    </w:p>
    <w:p w14:paraId="5C44DA31" w14:textId="77777777" w:rsidR="00660262" w:rsidRPr="00944CCC" w:rsidRDefault="00660262" w:rsidP="00944CCC">
      <w:pPr>
        <w:pStyle w:val="Heading3"/>
      </w:pPr>
      <w:bookmarkStart w:id="29" w:name="_Toc163979990"/>
      <w:bookmarkStart w:id="30" w:name="_Toc171600470"/>
      <w:r w:rsidRPr="00944CCC">
        <w:t>The Common Elements</w:t>
      </w:r>
      <w:bookmarkEnd w:id="29"/>
      <w:bookmarkEnd w:id="30"/>
    </w:p>
    <w:p w14:paraId="58735E2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Now that you have an idea of the different sections of a State plan, let's talk more specifically about the first collaborative section, which is called the Strategic Planning Elements.</w:t>
      </w:r>
    </w:p>
    <w:p w14:paraId="5CF085B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It's important to recognize that the Strategic Planning Elements section is for all programs. The AEFLA State director needs to engage with WIOA partners on this section to ensure that adult education is woven throughout the common elements. The Strategic Planning Elements are broken down into three major areas:</w:t>
      </w:r>
    </w:p>
    <w:p w14:paraId="1245AAA0" w14:textId="77777777" w:rsidR="00660262" w:rsidRPr="00944CCC" w:rsidRDefault="00660262" w:rsidP="0056051A">
      <w:pPr>
        <w:pStyle w:val="ListParagraph"/>
        <w:numPr>
          <w:ilvl w:val="0"/>
          <w:numId w:val="9"/>
        </w:numPr>
        <w:rPr>
          <w:rFonts w:ascii="Open Sans" w:hAnsi="Open Sans" w:cs="Open Sans"/>
          <w:lang w:eastAsia="ja-JP"/>
        </w:rPr>
      </w:pPr>
      <w:r w:rsidRPr="00944CCC">
        <w:rPr>
          <w:rFonts w:ascii="Open Sans" w:hAnsi="Open Sans" w:cs="Open Sans"/>
          <w:lang w:eastAsia="ja-JP"/>
        </w:rPr>
        <w:t>The economic, workforce, and workforce development activities</w:t>
      </w:r>
    </w:p>
    <w:p w14:paraId="15AF6F01" w14:textId="77777777" w:rsidR="00660262" w:rsidRPr="00944CCC" w:rsidRDefault="00660262" w:rsidP="0056051A">
      <w:pPr>
        <w:pStyle w:val="ListParagraph"/>
        <w:numPr>
          <w:ilvl w:val="0"/>
          <w:numId w:val="9"/>
        </w:numPr>
        <w:rPr>
          <w:rFonts w:ascii="Open Sans" w:hAnsi="Open Sans" w:cs="Open Sans"/>
          <w:lang w:eastAsia="ja-JP"/>
        </w:rPr>
      </w:pPr>
      <w:r w:rsidRPr="00944CCC">
        <w:rPr>
          <w:rFonts w:ascii="Open Sans" w:hAnsi="Open Sans" w:cs="Open Sans"/>
          <w:lang w:eastAsia="ja-JP"/>
        </w:rPr>
        <w:t>The State's strategic vision and goals, and</w:t>
      </w:r>
    </w:p>
    <w:p w14:paraId="064239A8" w14:textId="77777777" w:rsidR="00660262" w:rsidRPr="00944CCC" w:rsidRDefault="00660262" w:rsidP="0056051A">
      <w:pPr>
        <w:pStyle w:val="ListParagraph"/>
        <w:numPr>
          <w:ilvl w:val="0"/>
          <w:numId w:val="9"/>
        </w:numPr>
        <w:rPr>
          <w:rFonts w:ascii="Open Sans" w:hAnsi="Open Sans" w:cs="Open Sans"/>
          <w:lang w:eastAsia="ja-JP"/>
        </w:rPr>
      </w:pPr>
      <w:r w:rsidRPr="00944CCC">
        <w:rPr>
          <w:rFonts w:ascii="Open Sans" w:hAnsi="Open Sans" w:cs="Open Sans"/>
          <w:lang w:eastAsia="ja-JP"/>
        </w:rPr>
        <w:t>The State strategy</w:t>
      </w:r>
    </w:p>
    <w:p w14:paraId="35AA8FA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The analyses in this section drive the vision and goals for the State's workforce system. The strategies should address alignment of core programs and any combined partner programs, along with one-stop partner programs to achieve fully integrated customer services consistent with the State’s vision and goals.</w:t>
      </w:r>
    </w:p>
    <w:p w14:paraId="6B5637F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second collaborative section is the Operational Planning Elements, which support the State's strategic vision and goals that were articulated in the Strategic Planning Elements. The Operational Planning Elements ensure that the State has the necessary infrastructure, policies, and activities to meet its strategic goals, implement its alignment strategy, and ongoing program development and coordination.</w:t>
      </w:r>
    </w:p>
    <w:p w14:paraId="65AEA67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One of the Operational Planning Elements that States will address is the distribution of funds for core programs. Each core program must describe the methods and factors the State will use in distributing its funds under the core programs in accordance with the statutory and regulatory provisions authorizing the distributions. For adult ed, this means the State will describe how the AEFLA program is going to distribute the title II funds through a multi-year competitive grant process. For title II, there are two elements that the AEFLA State director must respond to.</w:t>
      </w:r>
    </w:p>
    <w:p w14:paraId="78354765" w14:textId="77777777" w:rsidR="00660262" w:rsidRPr="00944CCC" w:rsidRDefault="00660262" w:rsidP="0056051A">
      <w:pPr>
        <w:pStyle w:val="ListParagraph"/>
        <w:numPr>
          <w:ilvl w:val="0"/>
          <w:numId w:val="10"/>
        </w:numPr>
        <w:rPr>
          <w:rFonts w:ascii="Open Sans" w:hAnsi="Open Sans" w:cs="Open Sans"/>
          <w:lang w:eastAsia="ja-JP"/>
        </w:rPr>
      </w:pPr>
      <w:r w:rsidRPr="00944CCC">
        <w:rPr>
          <w:rFonts w:ascii="Open Sans" w:hAnsi="Open Sans" w:cs="Open Sans"/>
          <w:lang w:eastAsia="ja-JP"/>
        </w:rPr>
        <w:t>First, the State director must describe the methods and factors that the AEFLA State program office will use to award multiyear grants or contracts on a competitive basis to eligible providers in the State.</w:t>
      </w:r>
    </w:p>
    <w:p w14:paraId="2F00ECEC" w14:textId="77777777" w:rsidR="00660262" w:rsidRPr="00944CCC" w:rsidRDefault="00660262" w:rsidP="0056051A">
      <w:pPr>
        <w:pStyle w:val="ListParagraph"/>
        <w:numPr>
          <w:ilvl w:val="0"/>
          <w:numId w:val="10"/>
        </w:numPr>
        <w:rPr>
          <w:rFonts w:ascii="Open Sans" w:hAnsi="Open Sans" w:cs="Open Sans"/>
          <w:lang w:eastAsia="ja-JP"/>
        </w:rPr>
      </w:pPr>
      <w:r w:rsidRPr="00944CCC">
        <w:rPr>
          <w:rFonts w:ascii="Open Sans" w:hAnsi="Open Sans" w:cs="Open Sans"/>
          <w:lang w:eastAsia="ja-JP"/>
        </w:rPr>
        <w:t>Second, the State director must describe how the AEFLA State program office will ensure direct and equitable access to all eligible providers to apply and compete for funds, as well as how the AEFLA State program office will ensure that it is using the same grant or contract announcement and application procedure for all eligible providers.</w:t>
      </w:r>
    </w:p>
    <w:p w14:paraId="518DDDB2" w14:textId="77777777" w:rsidR="00660262" w:rsidRPr="00944CCC" w:rsidRDefault="00660262" w:rsidP="00944CCC">
      <w:pPr>
        <w:pStyle w:val="Heading3"/>
      </w:pPr>
      <w:bookmarkStart w:id="31" w:name="_Toc163979991"/>
      <w:bookmarkStart w:id="32" w:name="_Toc171600471"/>
      <w:r w:rsidRPr="00944CCC">
        <w:t>Program-specific Narratives</w:t>
      </w:r>
      <w:bookmarkEnd w:id="31"/>
      <w:bookmarkEnd w:id="32"/>
    </w:p>
    <w:p w14:paraId="4A7EC5D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After the Common Elements, we have the program-specific narratives. This is the section where the AEFLA State director describes the title II AEFLA program and activities.</w:t>
      </w:r>
    </w:p>
    <w:p w14:paraId="7C788A3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narratives in this section include:</w:t>
      </w:r>
    </w:p>
    <w:p w14:paraId="375B5A44" w14:textId="77777777" w:rsidR="00660262" w:rsidRPr="00944CCC" w:rsidRDefault="00660262" w:rsidP="0056051A">
      <w:pPr>
        <w:pStyle w:val="ListParagraph"/>
        <w:numPr>
          <w:ilvl w:val="0"/>
          <w:numId w:val="11"/>
        </w:numPr>
        <w:rPr>
          <w:rFonts w:ascii="Open Sans" w:hAnsi="Open Sans" w:cs="Open Sans"/>
          <w:lang w:eastAsia="ja-JP"/>
        </w:rPr>
      </w:pPr>
      <w:r w:rsidRPr="00944CCC">
        <w:rPr>
          <w:rFonts w:ascii="Open Sans" w:hAnsi="Open Sans" w:cs="Open Sans"/>
          <w:lang w:eastAsia="ja-JP"/>
        </w:rPr>
        <w:t>Aligning content standards</w:t>
      </w:r>
    </w:p>
    <w:p w14:paraId="46A2A6F6" w14:textId="77777777" w:rsidR="00660262" w:rsidRPr="00944CCC" w:rsidRDefault="00660262" w:rsidP="0056051A">
      <w:pPr>
        <w:pStyle w:val="ListParagraph"/>
        <w:numPr>
          <w:ilvl w:val="0"/>
          <w:numId w:val="11"/>
        </w:numPr>
        <w:rPr>
          <w:rFonts w:ascii="Open Sans" w:hAnsi="Open Sans" w:cs="Open Sans"/>
          <w:lang w:eastAsia="ja-JP"/>
        </w:rPr>
      </w:pPr>
      <w:r w:rsidRPr="00944CCC">
        <w:rPr>
          <w:rFonts w:ascii="Open Sans" w:hAnsi="Open Sans" w:cs="Open Sans"/>
          <w:lang w:eastAsia="ja-JP"/>
        </w:rPr>
        <w:t>Local activities, where a State would describe which activities local programs are expected to provide</w:t>
      </w:r>
    </w:p>
    <w:p w14:paraId="68EC1769" w14:textId="77777777" w:rsidR="00660262" w:rsidRPr="00944CCC" w:rsidRDefault="00660262" w:rsidP="0056051A">
      <w:pPr>
        <w:pStyle w:val="ListParagraph"/>
        <w:numPr>
          <w:ilvl w:val="0"/>
          <w:numId w:val="11"/>
        </w:numPr>
        <w:rPr>
          <w:rFonts w:ascii="Open Sans" w:hAnsi="Open Sans" w:cs="Open Sans"/>
          <w:lang w:eastAsia="ja-JP"/>
        </w:rPr>
      </w:pPr>
      <w:r w:rsidRPr="00944CCC">
        <w:rPr>
          <w:rFonts w:ascii="Open Sans" w:hAnsi="Open Sans" w:cs="Open Sans"/>
          <w:lang w:eastAsia="ja-JP"/>
        </w:rPr>
        <w:t>Corrections education and other education of institutionalized individuals</w:t>
      </w:r>
    </w:p>
    <w:p w14:paraId="444B1480" w14:textId="77777777" w:rsidR="00660262" w:rsidRPr="00944CCC" w:rsidRDefault="00660262" w:rsidP="0056051A">
      <w:pPr>
        <w:pStyle w:val="ListParagraph"/>
        <w:numPr>
          <w:ilvl w:val="0"/>
          <w:numId w:val="11"/>
        </w:numPr>
        <w:rPr>
          <w:rFonts w:ascii="Open Sans" w:hAnsi="Open Sans" w:cs="Open Sans"/>
          <w:lang w:eastAsia="ja-JP"/>
        </w:rPr>
      </w:pPr>
      <w:r w:rsidRPr="00944CCC">
        <w:rPr>
          <w:rFonts w:ascii="Open Sans" w:hAnsi="Open Sans" w:cs="Open Sans"/>
          <w:lang w:eastAsia="ja-JP"/>
        </w:rPr>
        <w:lastRenderedPageBreak/>
        <w:t>Integrated English Literacy and Civics Education, or IELCE</w:t>
      </w:r>
    </w:p>
    <w:p w14:paraId="0F5E47EC" w14:textId="77777777" w:rsidR="00660262" w:rsidRPr="00944CCC" w:rsidRDefault="00660262" w:rsidP="0056051A">
      <w:pPr>
        <w:pStyle w:val="ListParagraph"/>
        <w:numPr>
          <w:ilvl w:val="0"/>
          <w:numId w:val="11"/>
        </w:numPr>
        <w:rPr>
          <w:rFonts w:ascii="Open Sans" w:hAnsi="Open Sans" w:cs="Open Sans"/>
          <w:lang w:eastAsia="ja-JP"/>
        </w:rPr>
      </w:pPr>
      <w:r w:rsidRPr="00944CCC">
        <w:rPr>
          <w:rFonts w:ascii="Open Sans" w:hAnsi="Open Sans" w:cs="Open Sans"/>
          <w:lang w:eastAsia="ja-JP"/>
        </w:rPr>
        <w:t>State leadership, which is broken into two different areas: the required activities and the permissible activities that a State intends to conduct using State leadership funds, and a section for</w:t>
      </w:r>
    </w:p>
    <w:p w14:paraId="2EF9DEE9" w14:textId="77777777" w:rsidR="00660262" w:rsidRPr="00944CCC" w:rsidRDefault="00660262" w:rsidP="0056051A">
      <w:pPr>
        <w:pStyle w:val="ListParagraph"/>
        <w:numPr>
          <w:ilvl w:val="0"/>
          <w:numId w:val="11"/>
        </w:numPr>
        <w:rPr>
          <w:rFonts w:ascii="Open Sans" w:hAnsi="Open Sans" w:cs="Open Sans"/>
          <w:lang w:eastAsia="ja-JP"/>
        </w:rPr>
      </w:pPr>
      <w:r w:rsidRPr="00944CCC">
        <w:rPr>
          <w:rFonts w:ascii="Open Sans" w:hAnsi="Open Sans" w:cs="Open Sans"/>
          <w:lang w:eastAsia="ja-JP"/>
        </w:rPr>
        <w:t>Assessing the quality of adult education providers and literacy activities and taking action to improve the quality, including providing professional development programs</w:t>
      </w:r>
    </w:p>
    <w:p w14:paraId="42E950A2" w14:textId="77777777" w:rsidR="00660262" w:rsidRPr="00944CCC" w:rsidRDefault="00660262" w:rsidP="00944CCC">
      <w:pPr>
        <w:pStyle w:val="Heading3"/>
      </w:pPr>
      <w:bookmarkStart w:id="33" w:name="_Toc163979992"/>
      <w:bookmarkStart w:id="34" w:name="_Toc171600472"/>
      <w:r w:rsidRPr="00944CCC">
        <w:t>Tips for Writing Narratives</w:t>
      </w:r>
      <w:bookmarkEnd w:id="33"/>
      <w:bookmarkEnd w:id="34"/>
    </w:p>
    <w:p w14:paraId="0BC7355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Here are some tips for writing narratives. It’s important that the narratives in a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plan are as high quality as possible. High-quality narratives allow States to tell their story of how they’re building and improving their integrated workforce system to meet the needs of their customers. </w:t>
      </w:r>
    </w:p>
    <w:p w14:paraId="7455FFF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So, what can States do to improve the quality of their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plan narratives?</w:t>
      </w:r>
    </w:p>
    <w:p w14:paraId="22491A1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First, States are encouraged to use qualitative information about their progress in implementing the requirements of WIOA, such as using current data, describing processes in detail, and providing analyses in the required sections. It is important that States explain what analysis they did, describe the steps and the findings of their analysis, and describe how they’re using the analysis as part of their plan to accomplish their goals, such as program alignment and integration.</w:t>
      </w:r>
    </w:p>
    <w:p w14:paraId="6979E3B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Additionally, States should ensure they are using the latest labor market data and workforce information available to them as they’re developing their narratives so that various plan stakeholders, such as the public, customers, federal agencies, and review teams, all have high quality information available for decision-making. These stakeholders need to see robust analyses, workforce development offerings, education and training activities, and the State’s clearly articulated program alignment and integration of services.</w:t>
      </w:r>
    </w:p>
    <w:p w14:paraId="04214EF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Another important tip for writing high-quality narratives is that creating a strong State plan requires collaborative planning. Collaborative planning can be strengthened through joint planning and coordination across the core programs and combined partners, if any, as well as the required one-stop partners. It’s also strengthened by agency review and a continuous feedback loop for each program, and the opportunity for public comment.</w:t>
      </w:r>
    </w:p>
    <w:p w14:paraId="0CDEA2F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Here are some important questions that States need to ask themselves when considering how to collaborate with their partners: </w:t>
      </w:r>
    </w:p>
    <w:p w14:paraId="541E734F" w14:textId="77777777" w:rsidR="00660262" w:rsidRPr="00944CCC" w:rsidRDefault="00660262" w:rsidP="0056051A">
      <w:pPr>
        <w:pStyle w:val="ListParagraph"/>
        <w:numPr>
          <w:ilvl w:val="0"/>
          <w:numId w:val="12"/>
        </w:numPr>
        <w:rPr>
          <w:rFonts w:ascii="Open Sans" w:hAnsi="Open Sans" w:cs="Open Sans"/>
          <w:lang w:eastAsia="ja-JP"/>
        </w:rPr>
      </w:pPr>
      <w:r w:rsidRPr="00944CCC">
        <w:rPr>
          <w:rFonts w:ascii="Open Sans" w:hAnsi="Open Sans" w:cs="Open Sans"/>
          <w:lang w:eastAsia="ja-JP"/>
        </w:rPr>
        <w:t>How do we keep in touch with our partners?</w:t>
      </w:r>
    </w:p>
    <w:p w14:paraId="2F3A8387" w14:textId="77777777" w:rsidR="00660262" w:rsidRPr="00944CCC" w:rsidRDefault="00660262" w:rsidP="0056051A">
      <w:pPr>
        <w:pStyle w:val="ListParagraph"/>
        <w:numPr>
          <w:ilvl w:val="0"/>
          <w:numId w:val="12"/>
        </w:numPr>
        <w:rPr>
          <w:rFonts w:ascii="Open Sans" w:hAnsi="Open Sans" w:cs="Open Sans"/>
          <w:lang w:eastAsia="ja-JP"/>
        </w:rPr>
      </w:pPr>
      <w:r w:rsidRPr="00944CCC">
        <w:rPr>
          <w:rFonts w:ascii="Open Sans" w:hAnsi="Open Sans" w:cs="Open Sans"/>
          <w:lang w:eastAsia="ja-JP"/>
        </w:rPr>
        <w:t>Do we do this on a regular basis? How</w:t>
      </w:r>
      <w:r w:rsidRPr="00944CCC">
        <w:rPr>
          <w:rFonts w:ascii="Open Sans" w:hAnsi="Open Sans" w:cs="Open Sans"/>
          <w:i/>
          <w:iCs/>
          <w:lang w:eastAsia="ja-JP"/>
        </w:rPr>
        <w:t xml:space="preserve"> </w:t>
      </w:r>
      <w:r w:rsidRPr="00944CCC">
        <w:rPr>
          <w:rFonts w:ascii="Open Sans" w:hAnsi="Open Sans" w:cs="Open Sans"/>
          <w:lang w:eastAsia="ja-JP"/>
        </w:rPr>
        <w:t xml:space="preserve">do we do that? </w:t>
      </w:r>
    </w:p>
    <w:p w14:paraId="72D4A61C" w14:textId="77777777" w:rsidR="00660262" w:rsidRPr="00944CCC" w:rsidRDefault="00660262" w:rsidP="0056051A">
      <w:pPr>
        <w:pStyle w:val="ListParagraph"/>
        <w:numPr>
          <w:ilvl w:val="0"/>
          <w:numId w:val="12"/>
        </w:numPr>
        <w:rPr>
          <w:rFonts w:ascii="Open Sans" w:hAnsi="Open Sans" w:cs="Open Sans"/>
          <w:lang w:eastAsia="ja-JP"/>
        </w:rPr>
      </w:pPr>
      <w:r w:rsidRPr="00944CCC">
        <w:rPr>
          <w:rFonts w:ascii="Open Sans" w:hAnsi="Open Sans" w:cs="Open Sans"/>
          <w:lang w:eastAsia="ja-JP"/>
        </w:rPr>
        <w:lastRenderedPageBreak/>
        <w:t xml:space="preserve">What is the most efficient way that we can exchange information? </w:t>
      </w:r>
    </w:p>
    <w:p w14:paraId="62F578B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WIOA intends for the partners to connect in an ongoing and meaningful way </w:t>
      </w:r>
      <w:proofErr w:type="gramStart"/>
      <w:r w:rsidRPr="00944CCC">
        <w:rPr>
          <w:rFonts w:ascii="Open Sans" w:hAnsi="Open Sans" w:cs="Open Sans"/>
          <w:lang w:eastAsia="ja-JP"/>
        </w:rPr>
        <w:t>in order to</w:t>
      </w:r>
      <w:proofErr w:type="gramEnd"/>
      <w:r w:rsidRPr="00944CCC">
        <w:rPr>
          <w:rFonts w:ascii="Open Sans" w:hAnsi="Open Sans" w:cs="Open Sans"/>
          <w:lang w:eastAsia="ja-JP"/>
        </w:rPr>
        <w:t xml:space="preserve"> provide high-quality, coordinated services to our collective customers. We </w:t>
      </w:r>
      <w:proofErr w:type="gramStart"/>
      <w:r w:rsidRPr="00944CCC">
        <w:rPr>
          <w:rFonts w:ascii="Open Sans" w:hAnsi="Open Sans" w:cs="Open Sans"/>
          <w:lang w:eastAsia="ja-JP"/>
        </w:rPr>
        <w:t>have to</w:t>
      </w:r>
      <w:proofErr w:type="gramEnd"/>
      <w:r w:rsidRPr="00944CCC">
        <w:rPr>
          <w:rFonts w:ascii="Open Sans" w:hAnsi="Open Sans" w:cs="Open Sans"/>
          <w:lang w:eastAsia="ja-JP"/>
        </w:rPr>
        <w:t xml:space="preserve"> continually work at it in order to ensure that we are making progress and improving the delivery of services to the customers.</w:t>
      </w:r>
    </w:p>
    <w:p w14:paraId="7E2581CF" w14:textId="77777777" w:rsidR="00660262" w:rsidRPr="00944CCC" w:rsidRDefault="00660262" w:rsidP="00944CCC">
      <w:pPr>
        <w:pStyle w:val="Heading3"/>
      </w:pPr>
      <w:bookmarkStart w:id="35" w:name="_Toc163979993"/>
      <w:bookmarkStart w:id="36" w:name="_Toc171600473"/>
      <w:r w:rsidRPr="00944CCC">
        <w:t>Summary</w:t>
      </w:r>
      <w:bookmarkEnd w:id="35"/>
      <w:bookmarkEnd w:id="36"/>
    </w:p>
    <w:p w14:paraId="7FF1E74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State plans are an important road map in which States describe how they will administer and implement WIOA. Whether working under a unified or combined State plan, States should emphasize collaboration and the writing of high-quality narratives to give service providers, State plan reviewers, and the public an accurate idea of how the State is implementing WIOA.</w:t>
      </w:r>
    </w:p>
    <w:p w14:paraId="7E4232AE" w14:textId="77777777" w:rsidR="000C4C26" w:rsidRPr="00944CCC" w:rsidRDefault="00660262" w:rsidP="0056051A">
      <w:pPr>
        <w:rPr>
          <w:rFonts w:ascii="Open Sans" w:hAnsi="Open Sans" w:cs="Open Sans"/>
          <w:lang w:eastAsia="ja-JP"/>
        </w:rPr>
      </w:pPr>
      <w:r w:rsidRPr="00944CCC">
        <w:rPr>
          <w:rFonts w:ascii="Open Sans" w:hAnsi="Open Sans" w:cs="Open Sans"/>
          <w:lang w:eastAsia="ja-JP"/>
        </w:rPr>
        <w:t xml:space="preserve">In our other videos on State plans, you can find an overview of the modification process for State plans as well as an introduction to the State Plan Portal. And be sure to check out the Playbook for helpful resources on writing and submitting your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plans.</w:t>
      </w:r>
    </w:p>
    <w:p w14:paraId="4C9F3DB6" w14:textId="77777777" w:rsidR="000C4C26" w:rsidRPr="00944CCC" w:rsidRDefault="000C4C26" w:rsidP="0056051A">
      <w:pPr>
        <w:rPr>
          <w:rFonts w:ascii="Open Sans" w:hAnsi="Open Sans" w:cs="Open Sans"/>
          <w:lang w:eastAsia="ja-JP"/>
        </w:rPr>
      </w:pPr>
      <w:r w:rsidRPr="00944CCC">
        <w:rPr>
          <w:rFonts w:ascii="Open Sans" w:hAnsi="Open Sans" w:cs="Open Sans"/>
          <w:lang w:eastAsia="ja-JP"/>
        </w:rPr>
        <w:br w:type="page"/>
      </w:r>
    </w:p>
    <w:p w14:paraId="140F5CBE" w14:textId="77777777" w:rsidR="00660262" w:rsidRPr="00944CCC" w:rsidRDefault="00660262" w:rsidP="0056051A">
      <w:pPr>
        <w:pStyle w:val="Heading2"/>
        <w:rPr>
          <w:rFonts w:ascii="Open Sans" w:hAnsi="Open Sans" w:cs="Open Sans"/>
          <w:color w:val="032E53"/>
        </w:rPr>
      </w:pPr>
      <w:bookmarkStart w:id="37" w:name="_The_Modification_Process"/>
      <w:bookmarkStart w:id="38" w:name="_Toc163979994"/>
      <w:bookmarkStart w:id="39" w:name="_Toc171600474"/>
      <w:bookmarkEnd w:id="37"/>
      <w:r w:rsidRPr="00944CCC">
        <w:rPr>
          <w:rFonts w:ascii="Open Sans" w:hAnsi="Open Sans" w:cs="Open Sans"/>
          <w:color w:val="032E53"/>
        </w:rPr>
        <w:lastRenderedPageBreak/>
        <w:t>The Modification Process</w:t>
      </w:r>
      <w:bookmarkEnd w:id="38"/>
      <w:bookmarkEnd w:id="39"/>
    </w:p>
    <w:p w14:paraId="2C658E8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this video, we’ll </w:t>
      </w:r>
      <w:proofErr w:type="gramStart"/>
      <w:r w:rsidRPr="00944CCC">
        <w:rPr>
          <w:rFonts w:ascii="Open Sans" w:hAnsi="Open Sans" w:cs="Open Sans"/>
          <w:lang w:eastAsia="ja-JP"/>
        </w:rPr>
        <w:t>take a look</w:t>
      </w:r>
      <w:proofErr w:type="gramEnd"/>
      <w:r w:rsidRPr="00944CCC">
        <w:rPr>
          <w:rFonts w:ascii="Open Sans" w:hAnsi="Open Sans" w:cs="Open Sans"/>
          <w:lang w:eastAsia="ja-JP"/>
        </w:rPr>
        <w:t xml:space="preserve"> at how States can modify their plans. This video is part of a series of videos that will help you understand State plans under WIOA. </w:t>
      </w:r>
    </w:p>
    <w:p w14:paraId="4F19E95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By watching the videos in this series, you will:</w:t>
      </w:r>
    </w:p>
    <w:p w14:paraId="301AC5EB" w14:textId="77777777" w:rsidR="00660262" w:rsidRPr="00944CCC" w:rsidRDefault="00660262" w:rsidP="0056051A">
      <w:pPr>
        <w:pStyle w:val="ListParagraph"/>
        <w:numPr>
          <w:ilvl w:val="0"/>
          <w:numId w:val="5"/>
        </w:numPr>
        <w:rPr>
          <w:rFonts w:ascii="Open Sans" w:hAnsi="Open Sans" w:cs="Open Sans"/>
          <w:lang w:eastAsia="ja-JP"/>
        </w:rPr>
      </w:pPr>
      <w:r w:rsidRPr="00944CCC">
        <w:rPr>
          <w:rFonts w:ascii="Open Sans" w:hAnsi="Open Sans" w:cs="Open Sans"/>
          <w:lang w:eastAsia="ja-JP"/>
        </w:rPr>
        <w:t>Gain an understanding of State plan basics, including the purpose, programs, elements and submission of State plans</w:t>
      </w:r>
    </w:p>
    <w:p w14:paraId="0E278B23" w14:textId="77777777" w:rsidR="00660262" w:rsidRPr="00944CCC" w:rsidRDefault="00660262" w:rsidP="0056051A">
      <w:pPr>
        <w:pStyle w:val="ListParagraph"/>
        <w:numPr>
          <w:ilvl w:val="0"/>
          <w:numId w:val="5"/>
        </w:numPr>
        <w:rPr>
          <w:rFonts w:ascii="Open Sans" w:hAnsi="Open Sans" w:cs="Open Sans"/>
          <w:lang w:eastAsia="ja-JP"/>
        </w:rPr>
      </w:pPr>
      <w:r w:rsidRPr="00944CCC">
        <w:rPr>
          <w:rFonts w:ascii="Open Sans" w:hAnsi="Open Sans" w:cs="Open Sans"/>
          <w:lang w:eastAsia="ja-JP"/>
        </w:rPr>
        <w:t>You will understand the modifications requirements for State plans, and</w:t>
      </w:r>
    </w:p>
    <w:p w14:paraId="1E116B20" w14:textId="77777777" w:rsidR="00660262" w:rsidRPr="00944CCC" w:rsidRDefault="00660262" w:rsidP="0056051A">
      <w:pPr>
        <w:pStyle w:val="ListParagraph"/>
        <w:numPr>
          <w:ilvl w:val="0"/>
          <w:numId w:val="5"/>
        </w:numPr>
        <w:rPr>
          <w:rFonts w:ascii="Open Sans" w:hAnsi="Open Sans" w:cs="Open Sans"/>
          <w:lang w:eastAsia="ja-JP"/>
        </w:rPr>
      </w:pPr>
      <w:r w:rsidRPr="00944CCC">
        <w:rPr>
          <w:rFonts w:ascii="Open Sans" w:hAnsi="Open Sans" w:cs="Open Sans"/>
          <w:lang w:eastAsia="ja-JP"/>
        </w:rPr>
        <w:t>You will know how to access the WIOA State Plan Portal and view published State plans</w:t>
      </w:r>
    </w:p>
    <w:p w14:paraId="1D4760F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what we cover in this video, you can find more helpful resources in the Playbook.</w:t>
      </w:r>
    </w:p>
    <w:p w14:paraId="565F1834" w14:textId="77777777" w:rsidR="00660262" w:rsidRPr="00944CCC" w:rsidRDefault="00660262" w:rsidP="00944CCC">
      <w:pPr>
        <w:pStyle w:val="Heading3"/>
      </w:pPr>
      <w:bookmarkStart w:id="40" w:name="_Toc163979995"/>
      <w:bookmarkStart w:id="41" w:name="_Toc171600475"/>
      <w:r w:rsidRPr="00944CCC">
        <w:t>State plan Modifications</w:t>
      </w:r>
      <w:bookmarkEnd w:id="40"/>
      <w:bookmarkEnd w:id="41"/>
    </w:p>
    <w:p w14:paraId="1930592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Every State plan is required to be modified at the two-year mark of the four-year plan. And in addition to the required two-year modification, a State may have a reason to modify its plan off-cycle. These reasons could be: </w:t>
      </w:r>
    </w:p>
    <w:p w14:paraId="6ED849CF" w14:textId="77777777" w:rsidR="00660262" w:rsidRPr="00944CCC" w:rsidRDefault="00660262" w:rsidP="0056051A">
      <w:pPr>
        <w:pStyle w:val="ListParagraph"/>
        <w:numPr>
          <w:ilvl w:val="0"/>
          <w:numId w:val="13"/>
        </w:numPr>
        <w:rPr>
          <w:rFonts w:ascii="Open Sans" w:hAnsi="Open Sans" w:cs="Open Sans"/>
          <w:lang w:eastAsia="ja-JP"/>
        </w:rPr>
      </w:pPr>
      <w:r w:rsidRPr="00944CCC">
        <w:rPr>
          <w:rFonts w:ascii="Open Sans" w:hAnsi="Open Sans" w:cs="Open Sans"/>
          <w:lang w:eastAsia="ja-JP"/>
        </w:rPr>
        <w:t>Changes in the labor market or economic conditions</w:t>
      </w:r>
    </w:p>
    <w:p w14:paraId="7A948FF1" w14:textId="77777777" w:rsidR="00660262" w:rsidRPr="00944CCC" w:rsidRDefault="00660262" w:rsidP="0056051A">
      <w:pPr>
        <w:pStyle w:val="ListParagraph"/>
        <w:numPr>
          <w:ilvl w:val="0"/>
          <w:numId w:val="13"/>
        </w:numPr>
        <w:rPr>
          <w:rFonts w:ascii="Open Sans" w:hAnsi="Open Sans" w:cs="Open Sans"/>
          <w:lang w:eastAsia="ja-JP"/>
        </w:rPr>
      </w:pPr>
      <w:r w:rsidRPr="00944CCC">
        <w:rPr>
          <w:rFonts w:ascii="Open Sans" w:hAnsi="Open Sans" w:cs="Open Sans"/>
          <w:lang w:eastAsia="ja-JP"/>
        </w:rPr>
        <w:t>Changes in law or policy that substantially affect the strategies, goals, and priorities that a plan is based on, or</w:t>
      </w:r>
    </w:p>
    <w:p w14:paraId="30631999" w14:textId="77777777" w:rsidR="00660262" w:rsidRPr="00944CCC" w:rsidRDefault="00660262" w:rsidP="0056051A">
      <w:pPr>
        <w:pStyle w:val="ListParagraph"/>
        <w:numPr>
          <w:ilvl w:val="0"/>
          <w:numId w:val="13"/>
        </w:numPr>
        <w:rPr>
          <w:rFonts w:ascii="Open Sans" w:hAnsi="Open Sans" w:cs="Open Sans"/>
          <w:lang w:eastAsia="ja-JP"/>
        </w:rPr>
      </w:pPr>
      <w:r w:rsidRPr="00944CCC">
        <w:rPr>
          <w:rFonts w:ascii="Open Sans" w:hAnsi="Open Sans" w:cs="Open Sans"/>
          <w:lang w:eastAsia="ja-JP"/>
        </w:rPr>
        <w:t>Changes in statewide vision, strategies, policies, State negotiated levels of performance, or the methodology to allocate funds</w:t>
      </w:r>
    </w:p>
    <w:p w14:paraId="64D9BE9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both the mandatory two-year modification as well as an off-cycle modification, the modification process is basically the same as the process that’s used for the original submission of the State plan: first there’s a required public comment period, then the plan is submitted by the Governor's office, it’s reviewed by a federal team, and finally the plan is approved by the secretaries of Education and Labor and published. </w:t>
      </w:r>
    </w:p>
    <w:p w14:paraId="1071E06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It’s important to note that in the two-year modification, all States must update their performance tables with the remaining two-years’ expected levels of performance because federal agencies negotiate performance targets for two years at a time.</w:t>
      </w:r>
    </w:p>
    <w:p w14:paraId="7BB9B92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specific requirements for the State plan modifications can be found in sections 102 and 103 of WIOA and in sections 34 CFR section 463.135 for unified plans and 34 CFR section 463.145 for combined plans of the regulations.</w:t>
      </w:r>
    </w:p>
    <w:p w14:paraId="1F02390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An example of an off-cycle modification is if the AEFLA program is moved from one State agency to another State agency. Then a modification is required. The State </w:t>
      </w:r>
      <w:r w:rsidRPr="00944CCC">
        <w:rPr>
          <w:rFonts w:ascii="Open Sans" w:hAnsi="Open Sans" w:cs="Open Sans"/>
          <w:lang w:eastAsia="ja-JP"/>
        </w:rPr>
        <w:lastRenderedPageBreak/>
        <w:t xml:space="preserve">submits the changes to the plan in the State Plan Portal, the federal review team reconvenes to review the plan, and the same approval process is used. </w:t>
      </w:r>
    </w:p>
    <w:p w14:paraId="3351E22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Understanding State plan modification requirements provides States with the knowledge they need </w:t>
      </w:r>
      <w:proofErr w:type="gramStart"/>
      <w:r w:rsidRPr="00944CCC">
        <w:rPr>
          <w:rFonts w:ascii="Open Sans" w:hAnsi="Open Sans" w:cs="Open Sans"/>
          <w:lang w:eastAsia="ja-JP"/>
        </w:rPr>
        <w:t>in order to</w:t>
      </w:r>
      <w:proofErr w:type="gramEnd"/>
      <w:r w:rsidRPr="00944CCC">
        <w:rPr>
          <w:rFonts w:ascii="Open Sans" w:hAnsi="Open Sans" w:cs="Open Sans"/>
          <w:lang w:eastAsia="ja-JP"/>
        </w:rPr>
        <w:t xml:space="preserve"> modify plans in a timely manner, so that the public version of the plan reflects what is actually occurring in the State.</w:t>
      </w:r>
    </w:p>
    <w:p w14:paraId="675E0FF7" w14:textId="77777777" w:rsidR="000C4C26" w:rsidRPr="00944CCC" w:rsidRDefault="00660262" w:rsidP="0056051A">
      <w:pPr>
        <w:rPr>
          <w:rFonts w:ascii="Open Sans" w:hAnsi="Open Sans" w:cs="Open Sans"/>
          <w:lang w:eastAsia="ja-JP"/>
        </w:rPr>
      </w:pPr>
      <w:r w:rsidRPr="00944CCC">
        <w:rPr>
          <w:rFonts w:ascii="Open Sans" w:hAnsi="Open Sans" w:cs="Open Sans"/>
          <w:lang w:eastAsia="ja-JP"/>
        </w:rPr>
        <w:t>You can learn more about State plan modifications by consulting WIOA sections 102 and 103, and by checking out the resources in the Playbook. And be sure to watch the other videos in this series on State plans under WIOA.</w:t>
      </w:r>
    </w:p>
    <w:p w14:paraId="1E97651A" w14:textId="77777777" w:rsidR="000C4C26" w:rsidRPr="00944CCC" w:rsidRDefault="000C4C26" w:rsidP="0056051A">
      <w:pPr>
        <w:rPr>
          <w:rFonts w:ascii="Open Sans" w:hAnsi="Open Sans" w:cs="Open Sans"/>
          <w:lang w:eastAsia="ja-JP"/>
        </w:rPr>
      </w:pPr>
      <w:r w:rsidRPr="00944CCC">
        <w:rPr>
          <w:rFonts w:ascii="Open Sans" w:hAnsi="Open Sans" w:cs="Open Sans"/>
          <w:lang w:eastAsia="ja-JP"/>
        </w:rPr>
        <w:br w:type="page"/>
      </w:r>
    </w:p>
    <w:p w14:paraId="310E5F47" w14:textId="77777777" w:rsidR="00660262" w:rsidRPr="00944CCC" w:rsidRDefault="00660262" w:rsidP="0056051A">
      <w:pPr>
        <w:pStyle w:val="Heading2"/>
        <w:rPr>
          <w:rFonts w:ascii="Open Sans" w:hAnsi="Open Sans" w:cs="Open Sans"/>
          <w:color w:val="032E53"/>
        </w:rPr>
      </w:pPr>
      <w:bookmarkStart w:id="42" w:name="_Accessing_the_State"/>
      <w:bookmarkStart w:id="43" w:name="_Toc163979996"/>
      <w:bookmarkStart w:id="44" w:name="_Toc171600476"/>
      <w:bookmarkEnd w:id="42"/>
      <w:r w:rsidRPr="00944CCC">
        <w:rPr>
          <w:rFonts w:ascii="Open Sans" w:hAnsi="Open Sans" w:cs="Open Sans"/>
          <w:color w:val="032E53"/>
        </w:rPr>
        <w:lastRenderedPageBreak/>
        <w:t>Accessing the State Plan Portal</w:t>
      </w:r>
      <w:bookmarkEnd w:id="43"/>
      <w:bookmarkEnd w:id="44"/>
    </w:p>
    <w:p w14:paraId="0F69EF8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WIOA State plans are managed in the WIOA State Plan Portal. </w:t>
      </w:r>
      <w:proofErr w:type="gramStart"/>
      <w:r w:rsidRPr="00944CCC">
        <w:rPr>
          <w:rFonts w:ascii="Open Sans" w:hAnsi="Open Sans" w:cs="Open Sans"/>
          <w:lang w:eastAsia="ja-JP"/>
        </w:rPr>
        <w:t>So</w:t>
      </w:r>
      <w:proofErr w:type="gramEnd"/>
      <w:r w:rsidRPr="00944CCC">
        <w:rPr>
          <w:rFonts w:ascii="Open Sans" w:hAnsi="Open Sans" w:cs="Open Sans"/>
          <w:lang w:eastAsia="ja-JP"/>
        </w:rPr>
        <w:t xml:space="preserve"> in this video, we’ll look at how the State Plan Portal works and what you can find there.</w:t>
      </w:r>
    </w:p>
    <w:p w14:paraId="6E17B60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This video is part of a series of videos that will help you understand State plans under WIOA. By watching the videos in this series, you will:</w:t>
      </w:r>
    </w:p>
    <w:p w14:paraId="1EAE5700" w14:textId="77777777" w:rsidR="00660262" w:rsidRPr="00944CCC" w:rsidRDefault="00660262" w:rsidP="0056051A">
      <w:pPr>
        <w:pStyle w:val="ListParagraph"/>
        <w:numPr>
          <w:ilvl w:val="0"/>
          <w:numId w:val="5"/>
        </w:numPr>
        <w:rPr>
          <w:rFonts w:ascii="Open Sans" w:hAnsi="Open Sans" w:cs="Open Sans"/>
          <w:lang w:eastAsia="ja-JP"/>
        </w:rPr>
      </w:pPr>
      <w:r w:rsidRPr="00944CCC">
        <w:rPr>
          <w:rFonts w:ascii="Open Sans" w:hAnsi="Open Sans" w:cs="Open Sans"/>
          <w:lang w:eastAsia="ja-JP"/>
        </w:rPr>
        <w:t>Gain an understanding of State plan basics, including the purpose, programs, elements and submission of State plans</w:t>
      </w:r>
    </w:p>
    <w:p w14:paraId="214C609C" w14:textId="77777777" w:rsidR="00660262" w:rsidRPr="00944CCC" w:rsidRDefault="00660262" w:rsidP="0056051A">
      <w:pPr>
        <w:pStyle w:val="ListParagraph"/>
        <w:numPr>
          <w:ilvl w:val="0"/>
          <w:numId w:val="5"/>
        </w:numPr>
        <w:rPr>
          <w:rFonts w:ascii="Open Sans" w:hAnsi="Open Sans" w:cs="Open Sans"/>
          <w:lang w:eastAsia="ja-JP"/>
        </w:rPr>
      </w:pPr>
      <w:r w:rsidRPr="00944CCC">
        <w:rPr>
          <w:rFonts w:ascii="Open Sans" w:hAnsi="Open Sans" w:cs="Open Sans"/>
          <w:lang w:eastAsia="ja-JP"/>
        </w:rPr>
        <w:t>You will understand the modification requirements for State plans, and</w:t>
      </w:r>
    </w:p>
    <w:p w14:paraId="0A2310B3" w14:textId="77777777" w:rsidR="00660262" w:rsidRPr="00944CCC" w:rsidRDefault="00660262" w:rsidP="0056051A">
      <w:pPr>
        <w:pStyle w:val="ListParagraph"/>
        <w:numPr>
          <w:ilvl w:val="0"/>
          <w:numId w:val="5"/>
        </w:numPr>
        <w:rPr>
          <w:rFonts w:ascii="Open Sans" w:hAnsi="Open Sans" w:cs="Open Sans"/>
          <w:lang w:eastAsia="ja-JP"/>
        </w:rPr>
      </w:pPr>
      <w:r w:rsidRPr="00944CCC">
        <w:rPr>
          <w:rFonts w:ascii="Open Sans" w:hAnsi="Open Sans" w:cs="Open Sans"/>
          <w:lang w:eastAsia="ja-JP"/>
        </w:rPr>
        <w:t>You will know how to access the WIOA State Plan Portal and view published State plans</w:t>
      </w:r>
    </w:p>
    <w:p w14:paraId="7E44563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what we cover in this video, you can find more helpful resources in the Playbook.</w:t>
      </w:r>
    </w:p>
    <w:p w14:paraId="1EABE50E" w14:textId="77777777" w:rsidR="00660262" w:rsidRPr="00944CCC" w:rsidRDefault="00660262" w:rsidP="00944CCC">
      <w:pPr>
        <w:pStyle w:val="Heading3"/>
      </w:pPr>
      <w:bookmarkStart w:id="45" w:name="_Toc163979997"/>
      <w:bookmarkStart w:id="46" w:name="_Toc171600477"/>
      <w:r w:rsidRPr="00944CCC">
        <w:t>State Plan Portal Quick Overview</w:t>
      </w:r>
      <w:bookmarkEnd w:id="45"/>
      <w:bookmarkEnd w:id="46"/>
      <w:r w:rsidRPr="00944CCC">
        <w:t xml:space="preserve"> </w:t>
      </w:r>
    </w:p>
    <w:p w14:paraId="437F0DB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WIOA State Plan Portal can be found at wioaplans.ed.gov. Staff in DAEL will set up accounts for AEFLA State directors. Each State is limited to one person having the role of AEFLA State director in the portal because the role has unique permissions.</w:t>
      </w:r>
    </w:p>
    <w:p w14:paraId="7C3F330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Once an AEFLA State director has been assigned the State director role in the portal, State staff can then request the role of State Staff Editor. The AEFLA State director </w:t>
      </w:r>
      <w:proofErr w:type="gramStart"/>
      <w:r w:rsidRPr="00944CCC">
        <w:rPr>
          <w:rFonts w:ascii="Open Sans" w:hAnsi="Open Sans" w:cs="Open Sans"/>
          <w:lang w:eastAsia="ja-JP"/>
        </w:rPr>
        <w:t>has the ability to</w:t>
      </w:r>
      <w:proofErr w:type="gramEnd"/>
      <w:r w:rsidRPr="00944CCC">
        <w:rPr>
          <w:rFonts w:ascii="Open Sans" w:hAnsi="Open Sans" w:cs="Open Sans"/>
          <w:lang w:eastAsia="ja-JP"/>
        </w:rPr>
        <w:t xml:space="preserve"> approve or disapprove the requests from State staff for this role. This allows the AEFLA State director to manage staff access to create, edit, or delete content in the State plan narratives while the plan is being drafted.</w:t>
      </w:r>
    </w:p>
    <w:p w14:paraId="1F964B5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Once a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plan is approved or conditionally approved, it is published on the State Plan Portal website. All approved WIOA plans and modifications are available to the public on the State Plan Portal website, dating back to the first plans submitted under WIOA in 2016.</w:t>
      </w:r>
    </w:p>
    <w:p w14:paraId="63D45B4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Let’s </w:t>
      </w:r>
      <w:proofErr w:type="gramStart"/>
      <w:r w:rsidRPr="00944CCC">
        <w:rPr>
          <w:rFonts w:ascii="Open Sans" w:hAnsi="Open Sans" w:cs="Open Sans"/>
          <w:lang w:eastAsia="ja-JP"/>
        </w:rPr>
        <w:t>take a look</w:t>
      </w:r>
      <w:proofErr w:type="gramEnd"/>
      <w:r w:rsidRPr="00944CCC">
        <w:rPr>
          <w:rFonts w:ascii="Open Sans" w:hAnsi="Open Sans" w:cs="Open Sans"/>
          <w:lang w:eastAsia="ja-JP"/>
        </w:rPr>
        <w:t xml:space="preserve"> at a few features on the State Plan Portal.</w:t>
      </w:r>
    </w:p>
    <w:p w14:paraId="64BED8D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On the portal home page, there is a “View</w:t>
      </w:r>
      <w:r w:rsidRPr="00944CCC">
        <w:rPr>
          <w:rFonts w:ascii="Open Sans" w:hAnsi="Open Sans" w:cs="Open Sans"/>
          <w:b/>
          <w:bCs/>
          <w:lang w:eastAsia="ja-JP"/>
        </w:rPr>
        <w:t xml:space="preserve"> </w:t>
      </w:r>
      <w:r w:rsidRPr="00944CCC">
        <w:rPr>
          <w:rFonts w:ascii="Open Sans" w:hAnsi="Open Sans" w:cs="Open Sans"/>
          <w:lang w:eastAsia="ja-JP"/>
        </w:rPr>
        <w:t>Plan” option, which allows you to see the outline of the Information Collection Request, or ICR. You can click through the various sections and read the State’s narratives or use the “Download</w:t>
      </w:r>
      <w:r w:rsidRPr="00944CCC">
        <w:rPr>
          <w:rFonts w:ascii="Open Sans" w:hAnsi="Open Sans" w:cs="Open Sans"/>
          <w:b/>
          <w:bCs/>
          <w:lang w:eastAsia="ja-JP"/>
        </w:rPr>
        <w:t xml:space="preserve"> </w:t>
      </w:r>
      <w:r w:rsidRPr="00944CCC">
        <w:rPr>
          <w:rFonts w:ascii="Open Sans" w:hAnsi="Open Sans" w:cs="Open Sans"/>
          <w:lang w:eastAsia="ja-JP"/>
        </w:rPr>
        <w:t>Plan” option which generates a PDF of the entire plan.</w:t>
      </w:r>
    </w:p>
    <w:p w14:paraId="0891510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There is also a robust search capability in the portal. With the search feature, you can enter in a keyword or words, you can choose which plan year you want to </w:t>
      </w:r>
      <w:proofErr w:type="gramStart"/>
      <w:r w:rsidRPr="00944CCC">
        <w:rPr>
          <w:rFonts w:ascii="Open Sans" w:hAnsi="Open Sans" w:cs="Open Sans"/>
          <w:lang w:eastAsia="ja-JP"/>
        </w:rPr>
        <w:t>search</w:t>
      </w:r>
      <w:proofErr w:type="gramEnd"/>
      <w:r w:rsidRPr="00944CCC">
        <w:rPr>
          <w:rFonts w:ascii="Open Sans" w:hAnsi="Open Sans" w:cs="Open Sans"/>
          <w:lang w:eastAsia="ja-JP"/>
        </w:rPr>
        <w:t xml:space="preserve"> or you can choose the default, which searches all 57 plans. You should be </w:t>
      </w:r>
      <w:r w:rsidRPr="00944CCC">
        <w:rPr>
          <w:rFonts w:ascii="Open Sans" w:hAnsi="Open Sans" w:cs="Open Sans"/>
          <w:lang w:eastAsia="ja-JP"/>
        </w:rPr>
        <w:lastRenderedPageBreak/>
        <w:t xml:space="preserve">mindful when selecting what to search because searching on all 57 plans may take a long time and may generate a very large return. </w:t>
      </w:r>
    </w:p>
    <w:p w14:paraId="49DD3CE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You can search sections of a plan by selecting a particular section, such as “corrections education” or “State Leadership” in the AEFLA section of the plan. This will allow you to look specifically at what States are doing in particular areas. You can also select a specific set of States. For instance, you could search within States that have large rural areas or States where AEFLA is administered in the same type of State agency. You can use wild cards and regular expressions in the search feature.</w:t>
      </w:r>
    </w:p>
    <w:p w14:paraId="477528F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WIOA State Plan Portal contract is managed by DAEL in OCTAE on behalf of the core programs. If you have any questions on the WIOA State Plan Portal, please reach out to your area coordinator.</w:t>
      </w:r>
    </w:p>
    <w:p w14:paraId="74B1E339" w14:textId="77777777" w:rsidR="000C4C26" w:rsidRPr="00944CCC" w:rsidRDefault="00660262" w:rsidP="0056051A">
      <w:pPr>
        <w:rPr>
          <w:rFonts w:ascii="Open Sans" w:hAnsi="Open Sans" w:cs="Open Sans"/>
          <w:lang w:eastAsia="ja-JP"/>
        </w:rPr>
      </w:pPr>
      <w:r w:rsidRPr="00944CCC">
        <w:rPr>
          <w:rFonts w:ascii="Open Sans" w:hAnsi="Open Sans" w:cs="Open Sans"/>
          <w:lang w:eastAsia="ja-JP"/>
        </w:rPr>
        <w:t>The State Plan Portal is a valuable and necessary resource for you and your team to use while writing, editing, and publishing State plans. Be sure to check out the other videos in this series for more important information on State plans under WIOA.</w:t>
      </w:r>
    </w:p>
    <w:p w14:paraId="6766EAD4" w14:textId="77777777" w:rsidR="000C4C26" w:rsidRPr="00944CCC" w:rsidRDefault="000C4C26" w:rsidP="0056051A">
      <w:pPr>
        <w:rPr>
          <w:rFonts w:ascii="Open Sans" w:hAnsi="Open Sans" w:cs="Open Sans"/>
          <w:lang w:eastAsia="ja-JP"/>
        </w:rPr>
      </w:pPr>
      <w:r w:rsidRPr="00944CCC">
        <w:rPr>
          <w:rFonts w:ascii="Open Sans" w:hAnsi="Open Sans" w:cs="Open Sans"/>
          <w:lang w:eastAsia="ja-JP"/>
        </w:rPr>
        <w:br w:type="page"/>
      </w:r>
    </w:p>
    <w:p w14:paraId="724BC139" w14:textId="77777777" w:rsidR="00660262" w:rsidRPr="00944CCC" w:rsidRDefault="00660262" w:rsidP="0056051A">
      <w:pPr>
        <w:pStyle w:val="Heading2"/>
        <w:rPr>
          <w:rFonts w:ascii="Open Sans" w:hAnsi="Open Sans" w:cs="Open Sans"/>
          <w:color w:val="032E53"/>
        </w:rPr>
      </w:pPr>
      <w:bookmarkStart w:id="47" w:name="_Purpose_and_Process"/>
      <w:bookmarkStart w:id="48" w:name="_Toc163979998"/>
      <w:bookmarkStart w:id="49" w:name="_Toc171600478"/>
      <w:bookmarkEnd w:id="47"/>
      <w:r w:rsidRPr="00944CCC">
        <w:rPr>
          <w:rFonts w:ascii="Open Sans" w:hAnsi="Open Sans" w:cs="Open Sans"/>
          <w:color w:val="032E53"/>
        </w:rPr>
        <w:lastRenderedPageBreak/>
        <w:t>Purpose and Process</w:t>
      </w:r>
      <w:bookmarkEnd w:id="48"/>
      <w:bookmarkEnd w:id="49"/>
    </w:p>
    <w:p w14:paraId="5F408B5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this video, we’re going to cover levels of performance. Understanding levels of performance is critical to successful management and implementation of your State’s Adult Education and Family Literacy Act, or AEFLA grant. This video is part of a series of videos that will introduce you to levels of performance and to the Statistical Adjustment Model. </w:t>
      </w:r>
    </w:p>
    <w:p w14:paraId="4A2F38B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By the end of these videos, you will know:</w:t>
      </w:r>
    </w:p>
    <w:p w14:paraId="10A08F38" w14:textId="77777777" w:rsidR="00660262" w:rsidRPr="00944CCC" w:rsidRDefault="00660262" w:rsidP="0056051A">
      <w:pPr>
        <w:pStyle w:val="ListParagraph"/>
        <w:numPr>
          <w:ilvl w:val="0"/>
          <w:numId w:val="14"/>
        </w:numPr>
        <w:rPr>
          <w:rFonts w:ascii="Open Sans" w:hAnsi="Open Sans" w:cs="Open Sans"/>
          <w:lang w:eastAsia="ja-JP"/>
        </w:rPr>
      </w:pPr>
      <w:r w:rsidRPr="00944CCC">
        <w:rPr>
          <w:rFonts w:ascii="Open Sans" w:hAnsi="Open Sans" w:cs="Open Sans"/>
          <w:lang w:eastAsia="ja-JP"/>
        </w:rPr>
        <w:t xml:space="preserve">Why, when, and how you </w:t>
      </w:r>
      <w:r w:rsidRPr="00944CCC">
        <w:rPr>
          <w:rFonts w:ascii="Open Sans" w:hAnsi="Open Sans" w:cs="Open Sans"/>
          <w:b/>
          <w:bCs/>
          <w:lang w:eastAsia="ja-JP"/>
        </w:rPr>
        <w:t>must</w:t>
      </w:r>
      <w:r w:rsidRPr="00944CCC">
        <w:rPr>
          <w:rFonts w:ascii="Open Sans" w:hAnsi="Open Sans" w:cs="Open Sans"/>
          <w:lang w:eastAsia="ja-JP"/>
        </w:rPr>
        <w:t xml:space="preserve"> submit the expected levels of performance</w:t>
      </w:r>
    </w:p>
    <w:p w14:paraId="7AA301AD" w14:textId="77777777" w:rsidR="00660262" w:rsidRPr="00944CCC" w:rsidRDefault="00660262" w:rsidP="0056051A">
      <w:pPr>
        <w:pStyle w:val="ListParagraph"/>
        <w:numPr>
          <w:ilvl w:val="0"/>
          <w:numId w:val="14"/>
        </w:numPr>
        <w:rPr>
          <w:rFonts w:ascii="Open Sans" w:hAnsi="Open Sans" w:cs="Open Sans"/>
          <w:lang w:eastAsia="ja-JP"/>
        </w:rPr>
      </w:pPr>
      <w:r w:rsidRPr="00944CCC">
        <w:rPr>
          <w:rFonts w:ascii="Open Sans" w:hAnsi="Open Sans" w:cs="Open Sans"/>
          <w:lang w:eastAsia="ja-JP"/>
        </w:rPr>
        <w:t>How to reach agreement for negotiated levels of performance with the Division of Adult Education and Literacy, or DAEL</w:t>
      </w:r>
    </w:p>
    <w:p w14:paraId="5A843BBD" w14:textId="77777777" w:rsidR="00660262" w:rsidRPr="00944CCC" w:rsidRDefault="00660262" w:rsidP="0056051A">
      <w:pPr>
        <w:pStyle w:val="ListParagraph"/>
        <w:numPr>
          <w:ilvl w:val="0"/>
          <w:numId w:val="14"/>
        </w:numPr>
        <w:rPr>
          <w:rFonts w:ascii="Open Sans" w:hAnsi="Open Sans" w:cs="Open Sans"/>
          <w:lang w:eastAsia="ja-JP"/>
        </w:rPr>
      </w:pPr>
      <w:r w:rsidRPr="00944CCC">
        <w:rPr>
          <w:rFonts w:ascii="Open Sans" w:hAnsi="Open Sans" w:cs="Open Sans"/>
          <w:lang w:eastAsia="ja-JP"/>
        </w:rPr>
        <w:t>The four factors that are used for the negotiation process</w:t>
      </w:r>
    </w:p>
    <w:p w14:paraId="1DF49F19" w14:textId="77777777" w:rsidR="00660262" w:rsidRPr="00944CCC" w:rsidRDefault="00660262" w:rsidP="0056051A">
      <w:pPr>
        <w:pStyle w:val="ListParagraph"/>
        <w:numPr>
          <w:ilvl w:val="0"/>
          <w:numId w:val="14"/>
        </w:numPr>
        <w:rPr>
          <w:rFonts w:ascii="Open Sans" w:hAnsi="Open Sans" w:cs="Open Sans"/>
          <w:lang w:eastAsia="ja-JP"/>
        </w:rPr>
      </w:pPr>
      <w:r w:rsidRPr="00944CCC">
        <w:rPr>
          <w:rFonts w:ascii="Open Sans" w:hAnsi="Open Sans" w:cs="Open Sans"/>
          <w:lang w:eastAsia="ja-JP"/>
        </w:rPr>
        <w:t>How the levels of performance are adjusted at the end of the year and what variables are included in the Statistical Adjustment Model, and</w:t>
      </w:r>
    </w:p>
    <w:p w14:paraId="4C8848F7" w14:textId="77777777" w:rsidR="00660262" w:rsidRPr="00944CCC" w:rsidRDefault="00660262" w:rsidP="0056051A">
      <w:pPr>
        <w:pStyle w:val="ListParagraph"/>
        <w:numPr>
          <w:ilvl w:val="0"/>
          <w:numId w:val="14"/>
        </w:numPr>
        <w:rPr>
          <w:rFonts w:ascii="Open Sans" w:hAnsi="Open Sans" w:cs="Open Sans"/>
          <w:lang w:eastAsia="ja-JP"/>
        </w:rPr>
      </w:pPr>
      <w:r w:rsidRPr="00944CCC">
        <w:rPr>
          <w:rFonts w:ascii="Open Sans" w:hAnsi="Open Sans" w:cs="Open Sans"/>
          <w:lang w:eastAsia="ja-JP"/>
        </w:rPr>
        <w:t>The impact of failing to meet the levels of performance</w:t>
      </w:r>
    </w:p>
    <w:p w14:paraId="2363FF2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You can also find links and other helpful resources on these topics in the Playbook.</w:t>
      </w:r>
    </w:p>
    <w:p w14:paraId="4E3F4ED5" w14:textId="77777777" w:rsidR="00660262" w:rsidRPr="00944CCC" w:rsidRDefault="00660262" w:rsidP="00944CCC">
      <w:pPr>
        <w:pStyle w:val="Heading3"/>
      </w:pPr>
      <w:bookmarkStart w:id="50" w:name="_Toc163979999"/>
      <w:bookmarkStart w:id="51" w:name="_Toc171600479"/>
      <w:r w:rsidRPr="00944CCC">
        <w:t>The Process for Negotiations and Assessment</w:t>
      </w:r>
      <w:bookmarkEnd w:id="50"/>
      <w:bookmarkEnd w:id="51"/>
    </w:p>
    <w:p w14:paraId="6DC023E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Every two years, as part of the State plan review process, States must negotiate levels of performance with the Department of Education. These negotiations lead to negotiated levels of performance for the following two years. The negotiations and accompanying sanctions process are required by section 116 of the Workforce Innovation and Opportunity Act, or WIOA.</w:t>
      </w:r>
    </w:p>
    <w:p w14:paraId="7F2E760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Office of Career, Technical, and Adult Education, or OCTAE, in partnership with the Department of Labor and the Department of Education’s Rehabilitative Services Administration, published joint guidance in Program Memorandum PM 20-2 to further explain and operationalize the negotiations and sanctions process. </w:t>
      </w:r>
    </w:p>
    <w:p w14:paraId="34723F4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Program Memorandum PM 20-2 includes definitions that clarify the terms used in establishing levels of performance. These terms </w:t>
      </w:r>
      <w:proofErr w:type="gramStart"/>
      <w:r w:rsidRPr="00944CCC">
        <w:rPr>
          <w:rFonts w:ascii="Open Sans" w:hAnsi="Open Sans" w:cs="Open Sans"/>
          <w:lang w:eastAsia="ja-JP"/>
        </w:rPr>
        <w:t>include:</w:t>
      </w:r>
      <w:proofErr w:type="gramEnd"/>
      <w:r w:rsidRPr="00944CCC">
        <w:rPr>
          <w:rFonts w:ascii="Open Sans" w:hAnsi="Open Sans" w:cs="Open Sans"/>
          <w:lang w:eastAsia="ja-JP"/>
        </w:rPr>
        <w:t xml:space="preserve"> expected levels of performance, negotiated levels of performance, adjusted levels of performance, and actual levels of performance.</w:t>
      </w:r>
    </w:p>
    <w:p w14:paraId="1DF39B0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program memo also provides an overview of the major components of the negotiations and sanctions process. It explains:</w:t>
      </w:r>
    </w:p>
    <w:p w14:paraId="258F59E0" w14:textId="77777777" w:rsidR="00660262" w:rsidRPr="00944CCC" w:rsidRDefault="00660262" w:rsidP="0056051A">
      <w:pPr>
        <w:pStyle w:val="ListParagraph"/>
        <w:numPr>
          <w:ilvl w:val="0"/>
          <w:numId w:val="15"/>
        </w:numPr>
        <w:rPr>
          <w:rFonts w:ascii="Open Sans" w:hAnsi="Open Sans" w:cs="Open Sans"/>
          <w:lang w:eastAsia="ja-JP"/>
        </w:rPr>
      </w:pPr>
      <w:r w:rsidRPr="00944CCC">
        <w:rPr>
          <w:rFonts w:ascii="Open Sans" w:hAnsi="Open Sans" w:cs="Open Sans"/>
          <w:lang w:eastAsia="ja-JP"/>
        </w:rPr>
        <w:t>The four factors that are used in the negotiation process</w:t>
      </w:r>
    </w:p>
    <w:p w14:paraId="0777A34C" w14:textId="77777777" w:rsidR="00660262" w:rsidRPr="00944CCC" w:rsidRDefault="00660262" w:rsidP="0056051A">
      <w:pPr>
        <w:pStyle w:val="ListParagraph"/>
        <w:numPr>
          <w:ilvl w:val="0"/>
          <w:numId w:val="15"/>
        </w:numPr>
        <w:rPr>
          <w:rFonts w:ascii="Open Sans" w:hAnsi="Open Sans" w:cs="Open Sans"/>
          <w:lang w:eastAsia="ja-JP"/>
        </w:rPr>
      </w:pPr>
      <w:r w:rsidRPr="00944CCC">
        <w:rPr>
          <w:rFonts w:ascii="Open Sans" w:hAnsi="Open Sans" w:cs="Open Sans"/>
          <w:lang w:eastAsia="ja-JP"/>
        </w:rPr>
        <w:t>How the Statistical Adjustment Model is used to establish negotiated and adjusted levels of performance, and</w:t>
      </w:r>
    </w:p>
    <w:p w14:paraId="13C04193" w14:textId="77777777" w:rsidR="00660262" w:rsidRPr="00944CCC" w:rsidRDefault="00660262" w:rsidP="0056051A">
      <w:pPr>
        <w:pStyle w:val="ListParagraph"/>
        <w:numPr>
          <w:ilvl w:val="0"/>
          <w:numId w:val="15"/>
        </w:numPr>
        <w:rPr>
          <w:rFonts w:ascii="Open Sans" w:hAnsi="Open Sans" w:cs="Open Sans"/>
          <w:lang w:eastAsia="ja-JP"/>
        </w:rPr>
      </w:pPr>
      <w:r w:rsidRPr="00944CCC">
        <w:rPr>
          <w:rFonts w:ascii="Open Sans" w:hAnsi="Open Sans" w:cs="Open Sans"/>
          <w:lang w:eastAsia="ja-JP"/>
        </w:rPr>
        <w:lastRenderedPageBreak/>
        <w:t>How the Departments determine sanctions</w:t>
      </w:r>
    </w:p>
    <w:p w14:paraId="51A0694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attachments to the memo include a helpful flowchart outlining the performance negotiation and assessment process and they explain how State program performance scores are calculated.</w:t>
      </w:r>
    </w:p>
    <w:p w14:paraId="11F3066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the flowchart, you can see the six main steps in the negotiations and assessment process. In the first step, States enter expected levels of performance for years one and two. Then they work with DAEL to reach negotiated levels of performance for years one and two. At the end of year one, adjusted levels of performance are calculated based on actual economic data and more recent participant characteristics data. Next, success or failure is determined for year one. </w:t>
      </w:r>
    </w:p>
    <w:p w14:paraId="3349A02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Now remember, although States enter expected levels in the State plan for two years and negotiate with DAEL levels of performance for two years, DAEL staff looks at data annually. Staff will use data to calculate adjusted levels of performance at the end of year one and they will determine performance success or failure for year one, and then do the same thing again at the end of year two.</w:t>
      </w:r>
    </w:p>
    <w:p w14:paraId="2A926A0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During the required two-year modification of all State plans, the same process is repeated for years three and four of the four-year </w:t>
      </w:r>
      <w:proofErr w:type="gramStart"/>
      <w:r w:rsidRPr="00944CCC">
        <w:rPr>
          <w:rFonts w:ascii="Open Sans" w:hAnsi="Open Sans" w:cs="Open Sans"/>
          <w:lang w:eastAsia="ja-JP"/>
        </w:rPr>
        <w:t>plan</w:t>
      </w:r>
      <w:proofErr w:type="gramEnd"/>
      <w:r w:rsidRPr="00944CCC">
        <w:rPr>
          <w:rFonts w:ascii="Open Sans" w:hAnsi="Open Sans" w:cs="Open Sans"/>
          <w:lang w:eastAsia="ja-JP"/>
        </w:rPr>
        <w:t>.</w:t>
      </w:r>
    </w:p>
    <w:p w14:paraId="4DFAC1F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WIOA requires the Governor of each State to submit a unified or combined State plan that includes a four-year strategy for the State’s workforce development system and to submit a modification to that plan after two years. </w:t>
      </w:r>
    </w:p>
    <w:p w14:paraId="27F12E9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expected levels of performance for each primary indicator for each core program must be included in the initial submission of a unified or combined State plan and in the required two-year modification of the plan. The approved unified or combined State plan and the required two-year modification must reflect two years of negotiated levels of performance.</w:t>
      </w:r>
    </w:p>
    <w:p w14:paraId="6A95910D" w14:textId="77777777" w:rsidR="00660262" w:rsidRPr="00944CCC" w:rsidRDefault="00660262" w:rsidP="00944CCC">
      <w:pPr>
        <w:pStyle w:val="Heading3"/>
      </w:pPr>
      <w:bookmarkStart w:id="52" w:name="_Toc163980000"/>
      <w:bookmarkStart w:id="53" w:name="_Toc171600480"/>
      <w:r w:rsidRPr="00944CCC">
        <w:t>How Are Negotiated Levels of Performance Established?</w:t>
      </w:r>
      <w:bookmarkEnd w:id="52"/>
      <w:bookmarkEnd w:id="53"/>
    </w:p>
    <w:p w14:paraId="06EA880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WIOA defines four factors that must be considered in negotiating performance levels.</w:t>
      </w:r>
    </w:p>
    <w:p w14:paraId="6E712206" w14:textId="77777777" w:rsidR="00660262" w:rsidRPr="00944CCC" w:rsidRDefault="00660262" w:rsidP="0056051A">
      <w:pPr>
        <w:pStyle w:val="ListParagraph"/>
        <w:numPr>
          <w:ilvl w:val="0"/>
          <w:numId w:val="16"/>
        </w:numPr>
        <w:rPr>
          <w:rFonts w:ascii="Open Sans" w:hAnsi="Open Sans" w:cs="Open Sans"/>
          <w:lang w:eastAsia="ja-JP"/>
        </w:rPr>
      </w:pPr>
      <w:r w:rsidRPr="00944CCC">
        <w:rPr>
          <w:rFonts w:ascii="Open Sans" w:hAnsi="Open Sans" w:cs="Open Sans"/>
          <w:lang w:eastAsia="ja-JP"/>
        </w:rPr>
        <w:t xml:space="preserve">First, how does your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performance compare to other States?</w:t>
      </w:r>
    </w:p>
    <w:p w14:paraId="053323D7" w14:textId="77777777" w:rsidR="00660262" w:rsidRPr="00944CCC" w:rsidRDefault="00660262" w:rsidP="0056051A">
      <w:pPr>
        <w:pStyle w:val="ListParagraph"/>
        <w:numPr>
          <w:ilvl w:val="0"/>
          <w:numId w:val="16"/>
        </w:numPr>
        <w:rPr>
          <w:rFonts w:ascii="Open Sans" w:hAnsi="Open Sans" w:cs="Open Sans"/>
          <w:lang w:eastAsia="ja-JP"/>
        </w:rPr>
      </w:pPr>
      <w:r w:rsidRPr="00944CCC">
        <w:rPr>
          <w:rFonts w:ascii="Open Sans" w:hAnsi="Open Sans" w:cs="Open Sans"/>
          <w:lang w:eastAsia="ja-JP"/>
        </w:rPr>
        <w:t>Second, what performance level is predicted by the Statistical Adjustment Model?</w:t>
      </w:r>
    </w:p>
    <w:p w14:paraId="15F292B3" w14:textId="77777777" w:rsidR="00660262" w:rsidRPr="00944CCC" w:rsidRDefault="00660262" w:rsidP="0056051A">
      <w:pPr>
        <w:pStyle w:val="ListParagraph"/>
        <w:numPr>
          <w:ilvl w:val="0"/>
          <w:numId w:val="16"/>
        </w:numPr>
        <w:rPr>
          <w:rFonts w:ascii="Open Sans" w:hAnsi="Open Sans" w:cs="Open Sans"/>
          <w:lang w:eastAsia="ja-JP"/>
        </w:rPr>
      </w:pPr>
      <w:r w:rsidRPr="00944CCC">
        <w:rPr>
          <w:rFonts w:ascii="Open Sans" w:hAnsi="Open Sans" w:cs="Open Sans"/>
          <w:lang w:eastAsia="ja-JP"/>
        </w:rPr>
        <w:t xml:space="preserve">Third, will your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targets contribute to as well as promote continuous improvement?</w:t>
      </w:r>
    </w:p>
    <w:p w14:paraId="15F29B39" w14:textId="77777777" w:rsidR="00660262" w:rsidRPr="00944CCC" w:rsidRDefault="00660262" w:rsidP="0056051A">
      <w:pPr>
        <w:pStyle w:val="ListParagraph"/>
        <w:numPr>
          <w:ilvl w:val="0"/>
          <w:numId w:val="16"/>
        </w:numPr>
        <w:rPr>
          <w:rFonts w:ascii="Open Sans" w:hAnsi="Open Sans" w:cs="Open Sans"/>
          <w:lang w:eastAsia="ja-JP"/>
        </w:rPr>
      </w:pPr>
      <w:r w:rsidRPr="00944CCC">
        <w:rPr>
          <w:rFonts w:ascii="Open Sans" w:hAnsi="Open Sans" w:cs="Open Sans"/>
          <w:lang w:eastAsia="ja-JP"/>
        </w:rPr>
        <w:t xml:space="preserve">And, finally, will your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targets contribute toward the program meeting overall program goals as reflected in the Department of Education’s GPRA targets?</w:t>
      </w:r>
    </w:p>
    <w:p w14:paraId="1739840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A little bit more on that fourth factor. The Government Performance and Results Act, or GPRA, requires the Department of Education to set annual performance targets for its major programs. GPRA metrics are quantitative, objective, and reliable measures of program performance. The Department’s success in meeting its GPRA targets is reported to Congress in an annual performance report. Congress uses this information to make decisions about program continuation and funding levels. Your data is essential to the Department’s ability to report performance and to sustain funding for the AEFLA program.</w:t>
      </w:r>
    </w:p>
    <w:p w14:paraId="148B658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Every two years, DAEL uses data from the National Reporting System, or NRS, to populate a planning tool for States to assist with target setting and negotiations. This tool summarizes data pertaining to the negotiation factors, including: </w:t>
      </w:r>
    </w:p>
    <w:p w14:paraId="42C2A31E" w14:textId="77777777" w:rsidR="00660262" w:rsidRPr="00944CCC" w:rsidRDefault="00660262" w:rsidP="0056051A">
      <w:pPr>
        <w:pStyle w:val="ListParagraph"/>
        <w:numPr>
          <w:ilvl w:val="0"/>
          <w:numId w:val="17"/>
        </w:numPr>
        <w:rPr>
          <w:rFonts w:ascii="Open Sans" w:hAnsi="Open Sans" w:cs="Open Sans"/>
          <w:lang w:eastAsia="ja-JP"/>
        </w:rPr>
      </w:pPr>
      <w:r w:rsidRPr="00944CCC">
        <w:rPr>
          <w:rFonts w:ascii="Open Sans" w:hAnsi="Open Sans" w:cs="Open Sans"/>
          <w:lang w:eastAsia="ja-JP"/>
        </w:rPr>
        <w:t xml:space="preserve">Your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performance relative to the national average for each of the performance indicators</w:t>
      </w:r>
    </w:p>
    <w:p w14:paraId="3FF87CC8" w14:textId="77777777" w:rsidR="00660262" w:rsidRPr="00944CCC" w:rsidRDefault="00660262" w:rsidP="0056051A">
      <w:pPr>
        <w:pStyle w:val="ListParagraph"/>
        <w:numPr>
          <w:ilvl w:val="0"/>
          <w:numId w:val="17"/>
        </w:numPr>
        <w:rPr>
          <w:rFonts w:ascii="Open Sans" w:hAnsi="Open Sans" w:cs="Open Sans"/>
          <w:lang w:eastAsia="ja-JP"/>
        </w:rPr>
      </w:pPr>
      <w:r w:rsidRPr="00944CCC">
        <w:rPr>
          <w:rFonts w:ascii="Open Sans" w:hAnsi="Open Sans" w:cs="Open Sans"/>
          <w:lang w:eastAsia="ja-JP"/>
        </w:rPr>
        <w:t>Your State’s Statistical Adjustment Model estimate</w:t>
      </w:r>
    </w:p>
    <w:p w14:paraId="3AD7D80D" w14:textId="77777777" w:rsidR="00660262" w:rsidRPr="00944CCC" w:rsidRDefault="00660262" w:rsidP="0056051A">
      <w:pPr>
        <w:pStyle w:val="ListParagraph"/>
        <w:numPr>
          <w:ilvl w:val="0"/>
          <w:numId w:val="17"/>
        </w:numPr>
        <w:rPr>
          <w:rFonts w:ascii="Open Sans" w:hAnsi="Open Sans" w:cs="Open Sans"/>
          <w:lang w:eastAsia="ja-JP"/>
        </w:rPr>
      </w:pPr>
      <w:r w:rsidRPr="00944CCC">
        <w:rPr>
          <w:rFonts w:ascii="Open Sans" w:hAnsi="Open Sans" w:cs="Open Sans"/>
          <w:lang w:eastAsia="ja-JP"/>
        </w:rPr>
        <w:t>Your State’s continuous improvement, and</w:t>
      </w:r>
    </w:p>
    <w:p w14:paraId="05884AEF" w14:textId="77777777" w:rsidR="00660262" w:rsidRPr="00944CCC" w:rsidRDefault="00660262" w:rsidP="0056051A">
      <w:pPr>
        <w:pStyle w:val="ListParagraph"/>
        <w:numPr>
          <w:ilvl w:val="0"/>
          <w:numId w:val="17"/>
        </w:numPr>
        <w:rPr>
          <w:rFonts w:ascii="Open Sans" w:hAnsi="Open Sans" w:cs="Open Sans"/>
          <w:lang w:eastAsia="ja-JP"/>
        </w:rPr>
      </w:pPr>
      <w:r w:rsidRPr="00944CCC">
        <w:rPr>
          <w:rFonts w:ascii="Open Sans" w:hAnsi="Open Sans" w:cs="Open Sans"/>
          <w:lang w:eastAsia="ja-JP"/>
        </w:rPr>
        <w:t xml:space="preserve">The GPRA target for each performance indicator. </w:t>
      </w:r>
    </w:p>
    <w:p w14:paraId="58AF6EF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There are also columns for the State’s estimated level of performance and the final negotiated target for each indicator.</w:t>
      </w:r>
    </w:p>
    <w:p w14:paraId="5D41DAA4" w14:textId="77777777" w:rsidR="00660262" w:rsidRPr="00944CCC" w:rsidRDefault="00660262" w:rsidP="00944CCC">
      <w:pPr>
        <w:pStyle w:val="Heading3"/>
      </w:pPr>
      <w:bookmarkStart w:id="54" w:name="_Toc163980001"/>
      <w:bookmarkStart w:id="55" w:name="_Toc171600481"/>
      <w:r w:rsidRPr="00944CCC">
        <w:t>Summary</w:t>
      </w:r>
      <w:bookmarkEnd w:id="54"/>
      <w:bookmarkEnd w:id="55"/>
      <w:r w:rsidRPr="00944CCC">
        <w:t xml:space="preserve"> </w:t>
      </w:r>
    </w:p>
    <w:p w14:paraId="426DB3A6" w14:textId="77777777" w:rsidR="000C4C26" w:rsidRPr="00944CCC" w:rsidRDefault="00660262" w:rsidP="0056051A">
      <w:pPr>
        <w:rPr>
          <w:rFonts w:ascii="Open Sans" w:hAnsi="Open Sans" w:cs="Open Sans"/>
          <w:lang w:eastAsia="ja-JP"/>
        </w:rPr>
      </w:pPr>
      <w:r w:rsidRPr="00944CCC">
        <w:rPr>
          <w:rFonts w:ascii="Open Sans" w:hAnsi="Open Sans" w:cs="Open Sans"/>
          <w:lang w:eastAsia="ja-JP"/>
        </w:rPr>
        <w:t>In preparing to enter the negotiations process for setting expected levels of performance, you’ll want to familiarize yourself with the negotiations and performance process flow chart, as well as the four factors for negotiating performance defined in WIOA. The negotiations workbook is also a very helpful tool that will assist you in setting expected levels of performance. And be sure to check out our video on the Statistical Adjustment Model as well as consult the links and resources in the Playbook.</w:t>
      </w:r>
    </w:p>
    <w:p w14:paraId="0591BAA1" w14:textId="77777777" w:rsidR="000C4C26" w:rsidRPr="00944CCC" w:rsidRDefault="000C4C26" w:rsidP="0056051A">
      <w:pPr>
        <w:rPr>
          <w:rFonts w:ascii="Open Sans" w:hAnsi="Open Sans" w:cs="Open Sans"/>
          <w:lang w:eastAsia="ja-JP"/>
        </w:rPr>
      </w:pPr>
      <w:r w:rsidRPr="00944CCC">
        <w:rPr>
          <w:rFonts w:ascii="Open Sans" w:hAnsi="Open Sans" w:cs="Open Sans"/>
          <w:lang w:eastAsia="ja-JP"/>
        </w:rPr>
        <w:br w:type="page"/>
      </w:r>
    </w:p>
    <w:p w14:paraId="42B1655D" w14:textId="77777777" w:rsidR="00660262" w:rsidRPr="00944CCC" w:rsidRDefault="00660262" w:rsidP="0056051A">
      <w:pPr>
        <w:pStyle w:val="Heading2"/>
        <w:rPr>
          <w:rFonts w:ascii="Open Sans" w:hAnsi="Open Sans" w:cs="Open Sans"/>
          <w:color w:val="032E53"/>
        </w:rPr>
      </w:pPr>
      <w:bookmarkStart w:id="56" w:name="_The_Statistical_Adjustment"/>
      <w:bookmarkStart w:id="57" w:name="_Toc163980002"/>
      <w:bookmarkStart w:id="58" w:name="_Toc171600482"/>
      <w:bookmarkEnd w:id="56"/>
      <w:r w:rsidRPr="00944CCC">
        <w:rPr>
          <w:rFonts w:ascii="Open Sans" w:hAnsi="Open Sans" w:cs="Open Sans"/>
          <w:color w:val="032E53"/>
        </w:rPr>
        <w:lastRenderedPageBreak/>
        <w:t>The Statistical Adjustment Model</w:t>
      </w:r>
      <w:bookmarkEnd w:id="57"/>
      <w:bookmarkEnd w:id="58"/>
    </w:p>
    <w:p w14:paraId="2A8A877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this video, we’ll take a closer look at the Statistical Adjustment Model that the Division of Adult Education and Literacy, or DAEL, uses to adjust levels of performance for Adult Education and Family Literacy Act, or AEFLA, State grantees. This video is part of a series of videos that will introduce you to levels of performance and to the Statistical Adjustment Model.</w:t>
      </w:r>
    </w:p>
    <w:p w14:paraId="1F7AA7A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By the end of these videos, you will know:</w:t>
      </w:r>
    </w:p>
    <w:p w14:paraId="3F7FAFCD" w14:textId="77777777" w:rsidR="00660262" w:rsidRPr="00944CCC" w:rsidRDefault="00660262" w:rsidP="0056051A">
      <w:pPr>
        <w:pStyle w:val="ListParagraph"/>
        <w:numPr>
          <w:ilvl w:val="0"/>
          <w:numId w:val="18"/>
        </w:numPr>
        <w:rPr>
          <w:rFonts w:ascii="Open Sans" w:hAnsi="Open Sans" w:cs="Open Sans"/>
          <w:lang w:eastAsia="ja-JP"/>
        </w:rPr>
      </w:pPr>
      <w:r w:rsidRPr="00944CCC">
        <w:rPr>
          <w:rFonts w:ascii="Open Sans" w:hAnsi="Open Sans" w:cs="Open Sans"/>
          <w:lang w:eastAsia="ja-JP"/>
        </w:rPr>
        <w:t>Why, when, and how you must submit the expected levels of performance</w:t>
      </w:r>
    </w:p>
    <w:p w14:paraId="20883367" w14:textId="77777777" w:rsidR="00660262" w:rsidRPr="00944CCC" w:rsidRDefault="00660262" w:rsidP="0056051A">
      <w:pPr>
        <w:pStyle w:val="ListParagraph"/>
        <w:numPr>
          <w:ilvl w:val="0"/>
          <w:numId w:val="18"/>
        </w:numPr>
        <w:rPr>
          <w:rFonts w:ascii="Open Sans" w:hAnsi="Open Sans" w:cs="Open Sans"/>
          <w:lang w:eastAsia="ja-JP"/>
        </w:rPr>
      </w:pPr>
      <w:r w:rsidRPr="00944CCC">
        <w:rPr>
          <w:rFonts w:ascii="Open Sans" w:hAnsi="Open Sans" w:cs="Open Sans"/>
          <w:lang w:eastAsia="ja-JP"/>
        </w:rPr>
        <w:t>How to reach agreement for negotiated levels of performance with DAEL</w:t>
      </w:r>
    </w:p>
    <w:p w14:paraId="2428A76C" w14:textId="77777777" w:rsidR="00660262" w:rsidRPr="00944CCC" w:rsidRDefault="00660262" w:rsidP="0056051A">
      <w:pPr>
        <w:pStyle w:val="ListParagraph"/>
        <w:numPr>
          <w:ilvl w:val="0"/>
          <w:numId w:val="18"/>
        </w:numPr>
        <w:rPr>
          <w:rFonts w:ascii="Open Sans" w:hAnsi="Open Sans" w:cs="Open Sans"/>
          <w:lang w:eastAsia="ja-JP"/>
        </w:rPr>
      </w:pPr>
      <w:r w:rsidRPr="00944CCC">
        <w:rPr>
          <w:rFonts w:ascii="Open Sans" w:hAnsi="Open Sans" w:cs="Open Sans"/>
          <w:lang w:eastAsia="ja-JP"/>
        </w:rPr>
        <w:t>The four factors that are used for the negotiation process</w:t>
      </w:r>
    </w:p>
    <w:p w14:paraId="46ABAC22" w14:textId="77777777" w:rsidR="00660262" w:rsidRPr="00944CCC" w:rsidRDefault="00660262" w:rsidP="0056051A">
      <w:pPr>
        <w:pStyle w:val="ListParagraph"/>
        <w:numPr>
          <w:ilvl w:val="0"/>
          <w:numId w:val="18"/>
        </w:numPr>
        <w:rPr>
          <w:rFonts w:ascii="Open Sans" w:hAnsi="Open Sans" w:cs="Open Sans"/>
          <w:lang w:eastAsia="ja-JP"/>
        </w:rPr>
      </w:pPr>
      <w:r w:rsidRPr="00944CCC">
        <w:rPr>
          <w:rFonts w:ascii="Open Sans" w:hAnsi="Open Sans" w:cs="Open Sans"/>
          <w:lang w:eastAsia="ja-JP"/>
        </w:rPr>
        <w:t>How the levels of performance are adjusted at the end of the year and what variables are included in the Statistical Adjustment Model, and</w:t>
      </w:r>
    </w:p>
    <w:p w14:paraId="42F75C48" w14:textId="77777777" w:rsidR="00660262" w:rsidRPr="00944CCC" w:rsidRDefault="00660262" w:rsidP="0056051A">
      <w:pPr>
        <w:pStyle w:val="ListParagraph"/>
        <w:numPr>
          <w:ilvl w:val="0"/>
          <w:numId w:val="18"/>
        </w:numPr>
        <w:rPr>
          <w:rFonts w:ascii="Open Sans" w:hAnsi="Open Sans" w:cs="Open Sans"/>
          <w:lang w:eastAsia="ja-JP"/>
        </w:rPr>
      </w:pPr>
      <w:r w:rsidRPr="00944CCC">
        <w:rPr>
          <w:rFonts w:ascii="Open Sans" w:hAnsi="Open Sans" w:cs="Open Sans"/>
          <w:lang w:eastAsia="ja-JP"/>
        </w:rPr>
        <w:t>The impact of failing to meet the levels of performance</w:t>
      </w:r>
    </w:p>
    <w:p w14:paraId="269C1E6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You can also find links and other helpful resources on these topics in the Playbook.</w:t>
      </w:r>
    </w:p>
    <w:p w14:paraId="4E46627A" w14:textId="77777777" w:rsidR="00660262" w:rsidRPr="00944CCC" w:rsidRDefault="00660262" w:rsidP="00944CCC">
      <w:pPr>
        <w:pStyle w:val="Heading3"/>
      </w:pPr>
      <w:bookmarkStart w:id="59" w:name="_Toc163980003"/>
      <w:bookmarkStart w:id="60" w:name="_Toc171600483"/>
      <w:r w:rsidRPr="00944CCC">
        <w:t>What Is the Statistical Adjustment Model?</w:t>
      </w:r>
      <w:bookmarkEnd w:id="59"/>
      <w:bookmarkEnd w:id="60"/>
    </w:p>
    <w:p w14:paraId="7D3CCA18" w14:textId="77777777" w:rsidR="00660262" w:rsidRPr="00944CCC" w:rsidRDefault="00660262" w:rsidP="0056051A">
      <w:pPr>
        <w:rPr>
          <w:rFonts w:ascii="Open Sans" w:hAnsi="Open Sans" w:cs="Open Sans"/>
          <w:lang w:eastAsia="ja-JP"/>
        </w:rPr>
      </w:pPr>
      <w:proofErr w:type="gramStart"/>
      <w:r w:rsidRPr="00944CCC">
        <w:rPr>
          <w:rFonts w:ascii="Open Sans" w:hAnsi="Open Sans" w:cs="Open Sans"/>
          <w:lang w:eastAsia="ja-JP"/>
        </w:rPr>
        <w:t>So</w:t>
      </w:r>
      <w:proofErr w:type="gramEnd"/>
      <w:r w:rsidRPr="00944CCC">
        <w:rPr>
          <w:rFonts w:ascii="Open Sans" w:hAnsi="Open Sans" w:cs="Open Sans"/>
          <w:lang w:eastAsia="ja-JP"/>
        </w:rPr>
        <w:t xml:space="preserve"> what is the Statistical Adjustment Model?</w:t>
      </w:r>
    </w:p>
    <w:p w14:paraId="2021EA8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Statistical Adjustment Model is a statistical process used to adjust expected</w:t>
      </w:r>
      <w:r w:rsidRPr="00944CCC">
        <w:rPr>
          <w:rFonts w:ascii="Open Sans" w:hAnsi="Open Sans" w:cs="Open Sans"/>
          <w:b/>
          <w:bCs/>
          <w:i/>
          <w:iCs/>
          <w:lang w:eastAsia="ja-JP"/>
        </w:rPr>
        <w:t xml:space="preserve"> </w:t>
      </w:r>
      <w:r w:rsidRPr="00944CCC">
        <w:rPr>
          <w:rFonts w:ascii="Open Sans" w:hAnsi="Open Sans" w:cs="Open Sans"/>
          <w:lang w:eastAsia="ja-JP"/>
        </w:rPr>
        <w:t>levels of performance based on actual levels of performance and other up-to-date information from the States.</w:t>
      </w:r>
    </w:p>
    <w:p w14:paraId="502E7DB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As required by the Workforce Innovation and Opportunity Act, or WIOA, the Statistical Adjustment Model is used to ensure that the impact of participant characteristics and economic conditions in the State are accounted for in determining the negotiated levels of performance. </w:t>
      </w:r>
    </w:p>
    <w:p w14:paraId="229A361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Statistical Adjustment Model applies data from previous years to produce estimates of what performance should look like in the coming year. These estimates are then used as one of the four factors that are considered during the negotiation process. The Statistical Adjustment Model is updated at the end of the program year to reflect more current economic conditions and participant characteristics to develop an adjusted level of performance.</w:t>
      </w:r>
    </w:p>
    <w:p w14:paraId="111AE5C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Let’s take a closer look at the factors that are considered in the Statistical Adjustment Model. One of these elements is participant characteristics data.</w:t>
      </w:r>
    </w:p>
    <w:p w14:paraId="4FEEDF8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At intake, local programs have the opportunity and responsibility to collect participant characteristics, which are known as “barriers to employment.” These barriers include low levels of English proficiency, low levels of literacy, lack of work </w:t>
      </w:r>
      <w:r w:rsidRPr="00944CCC">
        <w:rPr>
          <w:rFonts w:ascii="Open Sans" w:hAnsi="Open Sans" w:cs="Open Sans"/>
          <w:lang w:eastAsia="ja-JP"/>
        </w:rPr>
        <w:lastRenderedPageBreak/>
        <w:t>experience and educational and occupational skills attainment, among other barriers.</w:t>
      </w:r>
    </w:p>
    <w:p w14:paraId="1A0354F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Another element considered in the Statistical Adjustment Model is information on economic conditions, including unemployment rates and trends in specific industries, and this is factored into the Statistical Adjustment Model.</w:t>
      </w:r>
    </w:p>
    <w:p w14:paraId="0CDFE77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After the program year is over, the Statistical Adjustment Model is updated with actual economic data and more recent participant characteristics data to produce an adjustment factor that is then used to adjust the negotiated level of performance. This adjusted level of performance becomes the target against which actual performance is compared.</w:t>
      </w:r>
    </w:p>
    <w:p w14:paraId="04BFA89C" w14:textId="77777777" w:rsidR="00660262" w:rsidRPr="00944CCC" w:rsidRDefault="00660262" w:rsidP="00944CCC">
      <w:pPr>
        <w:pStyle w:val="Heading3"/>
      </w:pPr>
      <w:bookmarkStart w:id="61" w:name="_Toc163980004"/>
      <w:bookmarkStart w:id="62" w:name="_Toc171600484"/>
      <w:r w:rsidRPr="00944CCC">
        <w:t>Success, Failure, and Sanctions</w:t>
      </w:r>
      <w:bookmarkEnd w:id="61"/>
      <w:bookmarkEnd w:id="62"/>
    </w:p>
    <w:p w14:paraId="47B41D1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Departments of Education and Labor determine State performance success or failure at the end of each program year for all WIOA programs. The Departments of Education and Labor make annual decisions about which indicators will be assessed for success or failure. This determination is largely driven by the plausibility of the estimates produced by the Statistical Adjustment Model.</w:t>
      </w:r>
    </w:p>
    <w:p w14:paraId="63CE0DC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 performance failure occurs when: </w:t>
      </w:r>
    </w:p>
    <w:p w14:paraId="72F41549" w14:textId="77777777" w:rsidR="00660262" w:rsidRPr="00944CCC" w:rsidRDefault="00660262" w:rsidP="0056051A">
      <w:pPr>
        <w:pStyle w:val="ListParagraph"/>
        <w:numPr>
          <w:ilvl w:val="0"/>
          <w:numId w:val="19"/>
        </w:numPr>
        <w:rPr>
          <w:rFonts w:ascii="Open Sans" w:hAnsi="Open Sans" w:cs="Open Sans"/>
          <w:lang w:eastAsia="ja-JP"/>
        </w:rPr>
      </w:pPr>
      <w:r w:rsidRPr="00944CCC">
        <w:rPr>
          <w:rFonts w:ascii="Open Sans" w:hAnsi="Open Sans" w:cs="Open Sans"/>
          <w:lang w:eastAsia="ja-JP"/>
        </w:rPr>
        <w:t>The overall State program score or overall State indicator score falls below 90 percent for the program year, or</w:t>
      </w:r>
    </w:p>
    <w:p w14:paraId="18E18AFB" w14:textId="77777777" w:rsidR="00660262" w:rsidRPr="00944CCC" w:rsidRDefault="00660262" w:rsidP="0056051A">
      <w:pPr>
        <w:pStyle w:val="ListParagraph"/>
        <w:numPr>
          <w:ilvl w:val="0"/>
          <w:numId w:val="19"/>
        </w:numPr>
        <w:rPr>
          <w:rFonts w:ascii="Open Sans" w:hAnsi="Open Sans" w:cs="Open Sans"/>
          <w:lang w:eastAsia="ja-JP"/>
        </w:rPr>
      </w:pPr>
      <w:r w:rsidRPr="00944CCC">
        <w:rPr>
          <w:rFonts w:ascii="Open Sans" w:hAnsi="Open Sans" w:cs="Open Sans"/>
          <w:lang w:eastAsia="ja-JP"/>
        </w:rPr>
        <w:t>Any one of the State’s individual indicator scores falls below 50 percent for the program year</w:t>
      </w:r>
    </w:p>
    <w:p w14:paraId="1F9D839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If a performance failure occurs at the end of the program year, the Department of Education or the Department of Labor and the State agency will work to develop a performance improvement plan, and the federal agency will provide technical assistance. If the State has the same performance failure occur in two consecutive program years, the Departments will apply sanctions that reduce the Governor’s discretionary fund under title I by 5% in the program year immediately following the second consecutive performance failure. This sanction will be enforced each successive year in which the State continues to have the same performance failure.</w:t>
      </w:r>
    </w:p>
    <w:p w14:paraId="78CE31D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It is very important to be aware that a State may also be subject to sanctions if it fails to submit an annual performance report:</w:t>
      </w:r>
    </w:p>
    <w:p w14:paraId="195AD3DC" w14:textId="77777777" w:rsidR="00660262" w:rsidRPr="00944CCC" w:rsidRDefault="00660262" w:rsidP="0056051A">
      <w:pPr>
        <w:pStyle w:val="ListParagraph"/>
        <w:numPr>
          <w:ilvl w:val="0"/>
          <w:numId w:val="20"/>
        </w:numPr>
        <w:rPr>
          <w:rFonts w:ascii="Open Sans" w:hAnsi="Open Sans" w:cs="Open Sans"/>
          <w:lang w:eastAsia="ja-JP"/>
        </w:rPr>
      </w:pPr>
      <w:r w:rsidRPr="00944CCC">
        <w:rPr>
          <w:rFonts w:ascii="Open Sans" w:hAnsi="Open Sans" w:cs="Open Sans"/>
          <w:lang w:eastAsia="ja-JP"/>
        </w:rPr>
        <w:t>By the due date (unless an extension is granted), or</w:t>
      </w:r>
    </w:p>
    <w:p w14:paraId="4C7E4ECD" w14:textId="77777777" w:rsidR="00660262" w:rsidRPr="00944CCC" w:rsidRDefault="00660262" w:rsidP="0056051A">
      <w:pPr>
        <w:pStyle w:val="ListParagraph"/>
        <w:numPr>
          <w:ilvl w:val="0"/>
          <w:numId w:val="20"/>
        </w:numPr>
        <w:rPr>
          <w:rFonts w:ascii="Open Sans" w:hAnsi="Open Sans" w:cs="Open Sans"/>
          <w:lang w:eastAsia="ja-JP"/>
        </w:rPr>
      </w:pPr>
      <w:r w:rsidRPr="00944CCC">
        <w:rPr>
          <w:rFonts w:ascii="Open Sans" w:hAnsi="Open Sans" w:cs="Open Sans"/>
          <w:lang w:eastAsia="ja-JP"/>
        </w:rPr>
        <w:t>That is incomplete</w:t>
      </w:r>
    </w:p>
    <w:p w14:paraId="24A1EAF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Therefore, timely and complete reporting is paramount. If you anticipate a challenge in meeting mandatory reporting deadlines, it is imperative that you notify OCTAE no less than 30 days before the deadline.</w:t>
      </w:r>
    </w:p>
    <w:p w14:paraId="72BEB235" w14:textId="77777777" w:rsidR="00660262" w:rsidRPr="00944CCC" w:rsidRDefault="00660262" w:rsidP="00944CCC">
      <w:pPr>
        <w:pStyle w:val="Heading3"/>
      </w:pPr>
      <w:bookmarkStart w:id="63" w:name="_Toc163980005"/>
      <w:bookmarkStart w:id="64" w:name="_Toc171600485"/>
      <w:r w:rsidRPr="00944CCC">
        <w:lastRenderedPageBreak/>
        <w:t>Summary</w:t>
      </w:r>
      <w:bookmarkEnd w:id="63"/>
      <w:bookmarkEnd w:id="64"/>
    </w:p>
    <w:p w14:paraId="18C77DD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Here are a few important points to keep in mind: </w:t>
      </w:r>
    </w:p>
    <w:p w14:paraId="38343C43" w14:textId="77777777" w:rsidR="00660262" w:rsidRPr="00944CCC" w:rsidRDefault="00660262" w:rsidP="0056051A">
      <w:pPr>
        <w:pStyle w:val="ListParagraph"/>
        <w:numPr>
          <w:ilvl w:val="0"/>
          <w:numId w:val="21"/>
        </w:numPr>
        <w:rPr>
          <w:rFonts w:ascii="Open Sans" w:hAnsi="Open Sans" w:cs="Open Sans"/>
          <w:lang w:eastAsia="ja-JP"/>
        </w:rPr>
      </w:pPr>
      <w:r w:rsidRPr="00944CCC">
        <w:rPr>
          <w:rFonts w:ascii="Open Sans" w:hAnsi="Open Sans" w:cs="Open Sans"/>
          <w:lang w:eastAsia="ja-JP"/>
        </w:rPr>
        <w:t>States must submit expected levels of performance for two years in the State plan and again, two years later, during the State plan modification process.</w:t>
      </w:r>
    </w:p>
    <w:p w14:paraId="46F899ED" w14:textId="77777777" w:rsidR="00660262" w:rsidRPr="00944CCC" w:rsidRDefault="00660262" w:rsidP="0056051A">
      <w:pPr>
        <w:pStyle w:val="ListParagraph"/>
        <w:numPr>
          <w:ilvl w:val="0"/>
          <w:numId w:val="21"/>
        </w:numPr>
        <w:rPr>
          <w:rFonts w:ascii="Open Sans" w:hAnsi="Open Sans" w:cs="Open Sans"/>
          <w:lang w:eastAsia="ja-JP"/>
        </w:rPr>
      </w:pPr>
      <w:r w:rsidRPr="00944CCC">
        <w:rPr>
          <w:rFonts w:ascii="Open Sans" w:hAnsi="Open Sans" w:cs="Open Sans"/>
          <w:lang w:eastAsia="ja-JP"/>
        </w:rPr>
        <w:t>The negotiated levels of performance are established for all WIOA programs using the four factors required in the statute.</w:t>
      </w:r>
    </w:p>
    <w:p w14:paraId="4A35ECCB" w14:textId="77777777" w:rsidR="00660262" w:rsidRPr="00944CCC" w:rsidRDefault="00660262" w:rsidP="0056051A">
      <w:pPr>
        <w:pStyle w:val="ListParagraph"/>
        <w:numPr>
          <w:ilvl w:val="0"/>
          <w:numId w:val="21"/>
        </w:numPr>
        <w:rPr>
          <w:rFonts w:ascii="Open Sans" w:hAnsi="Open Sans" w:cs="Open Sans"/>
          <w:lang w:eastAsia="ja-JP"/>
        </w:rPr>
      </w:pPr>
      <w:r w:rsidRPr="00944CCC">
        <w:rPr>
          <w:rFonts w:ascii="Open Sans" w:hAnsi="Open Sans" w:cs="Open Sans"/>
          <w:lang w:eastAsia="ja-JP"/>
        </w:rPr>
        <w:t xml:space="preserve">The Statistical Adjustment Model will be applied to negotiated targets at the end of the program year to establish adjusted levels of performance. </w:t>
      </w:r>
    </w:p>
    <w:p w14:paraId="11C9FD78" w14:textId="77777777" w:rsidR="00660262" w:rsidRPr="00944CCC" w:rsidRDefault="00660262" w:rsidP="0056051A">
      <w:pPr>
        <w:pStyle w:val="ListParagraph"/>
        <w:numPr>
          <w:ilvl w:val="0"/>
          <w:numId w:val="21"/>
        </w:numPr>
        <w:rPr>
          <w:rFonts w:ascii="Open Sans" w:hAnsi="Open Sans" w:cs="Open Sans"/>
          <w:lang w:eastAsia="ja-JP"/>
        </w:rPr>
      </w:pPr>
      <w:r w:rsidRPr="00944CCC">
        <w:rPr>
          <w:rFonts w:ascii="Open Sans" w:hAnsi="Open Sans" w:cs="Open Sans"/>
          <w:lang w:eastAsia="ja-JP"/>
        </w:rPr>
        <w:t>And sanctions are applied for failure to achieve adjusted levels of performance or failure to report on time or to submit a complete report.</w:t>
      </w:r>
    </w:p>
    <w:p w14:paraId="0D0D9048" w14:textId="77777777" w:rsidR="000C4C26" w:rsidRPr="00944CCC" w:rsidRDefault="00660262" w:rsidP="0056051A">
      <w:pPr>
        <w:rPr>
          <w:rFonts w:ascii="Open Sans" w:hAnsi="Open Sans" w:cs="Open Sans"/>
          <w:lang w:eastAsia="ja-JP"/>
        </w:rPr>
      </w:pPr>
      <w:r w:rsidRPr="00944CCC">
        <w:rPr>
          <w:rFonts w:ascii="Open Sans" w:hAnsi="Open Sans" w:cs="Open Sans"/>
          <w:lang w:eastAsia="ja-JP"/>
        </w:rPr>
        <w:t>Be sure to check out our other videos in this series and to consult the playbook for additional resources.</w:t>
      </w:r>
    </w:p>
    <w:p w14:paraId="5C64C9A9" w14:textId="77777777" w:rsidR="000C4C26" w:rsidRPr="00944CCC" w:rsidRDefault="000C4C26" w:rsidP="0056051A">
      <w:pPr>
        <w:rPr>
          <w:rFonts w:ascii="Open Sans" w:hAnsi="Open Sans" w:cs="Open Sans"/>
          <w:lang w:eastAsia="ja-JP"/>
        </w:rPr>
      </w:pPr>
      <w:r w:rsidRPr="00944CCC">
        <w:rPr>
          <w:rFonts w:ascii="Open Sans" w:hAnsi="Open Sans" w:cs="Open Sans"/>
          <w:lang w:eastAsia="ja-JP"/>
        </w:rPr>
        <w:br w:type="page"/>
      </w:r>
    </w:p>
    <w:p w14:paraId="21993861" w14:textId="77777777" w:rsidR="00660262" w:rsidRPr="00944CCC" w:rsidRDefault="00660262" w:rsidP="0056051A">
      <w:pPr>
        <w:pStyle w:val="Heading2"/>
        <w:rPr>
          <w:rFonts w:ascii="Open Sans" w:hAnsi="Open Sans" w:cs="Open Sans"/>
          <w:color w:val="032E53"/>
        </w:rPr>
      </w:pPr>
      <w:bookmarkStart w:id="65" w:name="_The_Process"/>
      <w:bookmarkStart w:id="66" w:name="_Toc163980006"/>
      <w:bookmarkStart w:id="67" w:name="_Toc171600486"/>
      <w:bookmarkEnd w:id="65"/>
      <w:r w:rsidRPr="00944CCC">
        <w:rPr>
          <w:rFonts w:ascii="Open Sans" w:hAnsi="Open Sans" w:cs="Open Sans"/>
          <w:color w:val="032E53"/>
        </w:rPr>
        <w:lastRenderedPageBreak/>
        <w:t>The Process</w:t>
      </w:r>
      <w:bookmarkEnd w:id="66"/>
      <w:bookmarkEnd w:id="67"/>
    </w:p>
    <w:p w14:paraId="0E14AED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this video, we will discuss how States can fund their local programs through a competitive application process. </w:t>
      </w:r>
    </w:p>
    <w:p w14:paraId="4A85350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Workforce Innovation and Opportunity Act, or WIOA, requires each eligible agency to award multiyear grants or contracts, on a competitive basis, to eligible providers within the State or outlying area to enable the eligible providers to develop, implement, and improve adult education and literacy activities within the State. </w:t>
      </w:r>
    </w:p>
    <w:p w14:paraId="734FC76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addition to setting State adult education program priorities through the competition, States must know the requirements for running a compliant Adult Education and Family Literacy Act, or AEFLA, competition </w:t>
      </w:r>
      <w:proofErr w:type="gramStart"/>
      <w:r w:rsidRPr="00944CCC">
        <w:rPr>
          <w:rFonts w:ascii="Open Sans" w:hAnsi="Open Sans" w:cs="Open Sans"/>
          <w:lang w:eastAsia="ja-JP"/>
        </w:rPr>
        <w:t>in order to</w:t>
      </w:r>
      <w:proofErr w:type="gramEnd"/>
      <w:r w:rsidRPr="00944CCC">
        <w:rPr>
          <w:rFonts w:ascii="Open Sans" w:hAnsi="Open Sans" w:cs="Open Sans"/>
          <w:lang w:eastAsia="ja-JP"/>
        </w:rPr>
        <w:t xml:space="preserve"> prevent competition results from being nullified or overturned on appeal.</w:t>
      </w:r>
    </w:p>
    <w:p w14:paraId="56A171F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This video is part of a series of videos on funding local programs. And by the end of these videos, you will be able to:</w:t>
      </w:r>
    </w:p>
    <w:p w14:paraId="0A9CF4F5" w14:textId="77777777" w:rsidR="00660262" w:rsidRPr="00944CCC" w:rsidRDefault="00660262" w:rsidP="0056051A">
      <w:pPr>
        <w:pStyle w:val="ListParagraph"/>
        <w:numPr>
          <w:ilvl w:val="0"/>
          <w:numId w:val="22"/>
        </w:numPr>
        <w:rPr>
          <w:rFonts w:ascii="Open Sans" w:hAnsi="Open Sans" w:cs="Open Sans"/>
          <w:lang w:eastAsia="ja-JP"/>
        </w:rPr>
      </w:pPr>
      <w:r w:rsidRPr="00944CCC">
        <w:rPr>
          <w:rFonts w:ascii="Open Sans" w:hAnsi="Open Sans" w:cs="Open Sans"/>
          <w:lang w:eastAsia="ja-JP"/>
        </w:rPr>
        <w:t>Identify the statutory and regulatory AEFLA requirements for the State’s process for funding local programs</w:t>
      </w:r>
    </w:p>
    <w:p w14:paraId="426E1CA4" w14:textId="77777777" w:rsidR="00660262" w:rsidRPr="00944CCC" w:rsidRDefault="00660262" w:rsidP="0056051A">
      <w:pPr>
        <w:pStyle w:val="ListParagraph"/>
        <w:numPr>
          <w:ilvl w:val="0"/>
          <w:numId w:val="22"/>
        </w:numPr>
        <w:rPr>
          <w:rFonts w:ascii="Open Sans" w:hAnsi="Open Sans" w:cs="Open Sans"/>
          <w:lang w:eastAsia="ja-JP"/>
        </w:rPr>
      </w:pPr>
      <w:r w:rsidRPr="00944CCC">
        <w:rPr>
          <w:rFonts w:ascii="Open Sans" w:hAnsi="Open Sans" w:cs="Open Sans"/>
          <w:lang w:eastAsia="ja-JP"/>
        </w:rPr>
        <w:t>Discuss the ways organizations can demonstrate effectiveness</w:t>
      </w:r>
    </w:p>
    <w:p w14:paraId="154D9DEA" w14:textId="77777777" w:rsidR="00660262" w:rsidRPr="00944CCC" w:rsidRDefault="00660262" w:rsidP="0056051A">
      <w:pPr>
        <w:pStyle w:val="ListParagraph"/>
        <w:numPr>
          <w:ilvl w:val="0"/>
          <w:numId w:val="22"/>
        </w:numPr>
        <w:rPr>
          <w:rFonts w:ascii="Open Sans" w:hAnsi="Open Sans" w:cs="Open Sans"/>
          <w:lang w:eastAsia="ja-JP"/>
        </w:rPr>
      </w:pPr>
      <w:r w:rsidRPr="00944CCC">
        <w:rPr>
          <w:rFonts w:ascii="Open Sans" w:hAnsi="Open Sans" w:cs="Open Sans"/>
          <w:lang w:eastAsia="ja-JP"/>
        </w:rPr>
        <w:t>Identify other relevant grant procedures for funding local programs</w:t>
      </w:r>
    </w:p>
    <w:p w14:paraId="5DAFE7C8" w14:textId="77777777" w:rsidR="00660262" w:rsidRPr="00944CCC" w:rsidRDefault="00660262" w:rsidP="0056051A">
      <w:pPr>
        <w:pStyle w:val="ListParagraph"/>
        <w:numPr>
          <w:ilvl w:val="0"/>
          <w:numId w:val="22"/>
        </w:numPr>
        <w:rPr>
          <w:rFonts w:ascii="Open Sans" w:hAnsi="Open Sans" w:cs="Open Sans"/>
          <w:lang w:eastAsia="ja-JP"/>
        </w:rPr>
      </w:pPr>
      <w:r w:rsidRPr="00944CCC">
        <w:rPr>
          <w:rFonts w:ascii="Open Sans" w:hAnsi="Open Sans" w:cs="Open Sans"/>
          <w:lang w:eastAsia="ja-JP"/>
        </w:rPr>
        <w:t>Understand the requirements for the appeals process, and</w:t>
      </w:r>
    </w:p>
    <w:p w14:paraId="405BD253" w14:textId="77777777" w:rsidR="00660262" w:rsidRPr="00944CCC" w:rsidRDefault="00660262" w:rsidP="0056051A">
      <w:pPr>
        <w:pStyle w:val="ListParagraph"/>
        <w:numPr>
          <w:ilvl w:val="0"/>
          <w:numId w:val="22"/>
        </w:numPr>
        <w:rPr>
          <w:rFonts w:ascii="Open Sans" w:hAnsi="Open Sans" w:cs="Open Sans"/>
          <w:lang w:eastAsia="ja-JP"/>
        </w:rPr>
      </w:pPr>
      <w:r w:rsidRPr="00944CCC">
        <w:rPr>
          <w:rFonts w:ascii="Open Sans" w:hAnsi="Open Sans" w:cs="Open Sans"/>
          <w:lang w:eastAsia="ja-JP"/>
        </w:rPr>
        <w:t>Understand local administrative costs requirements</w:t>
      </w:r>
    </w:p>
    <w:p w14:paraId="1DA09ED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what we cover in this video, you can find more helpful resources in the Playbook.</w:t>
      </w:r>
    </w:p>
    <w:p w14:paraId="35FB1632" w14:textId="77777777" w:rsidR="00660262" w:rsidRPr="00944CCC" w:rsidRDefault="00660262" w:rsidP="00944CCC">
      <w:pPr>
        <w:pStyle w:val="Heading3"/>
      </w:pPr>
      <w:bookmarkStart w:id="68" w:name="_Toc163980007"/>
      <w:bookmarkStart w:id="69" w:name="_Toc171600487"/>
      <w:r w:rsidRPr="00944CCC">
        <w:t>Requirements for the State Distribution of Funds</w:t>
      </w:r>
      <w:bookmarkEnd w:id="68"/>
      <w:bookmarkEnd w:id="69"/>
    </w:p>
    <w:p w14:paraId="7C8F3F7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Let’s start out by looking at the requirements of how State funds must be distributed under WIOA. The requirements for the State Distribution of funds can be found in WIOA section 222. These requirements are the statutory grounding for States when competing AEFLA funds. </w:t>
      </w:r>
    </w:p>
    <w:p w14:paraId="1E81FCF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Section 222(a)(1) indicates that each eligible agency receiving a grant shall use not less than 82.5% of the grant funds to award grants and contracts under section 231 and to carry out the correctional education activities in section 225. Up to 20% of section 231 funds may be used to carry out correctional education activities.</w:t>
      </w:r>
    </w:p>
    <w:p w14:paraId="7BD24FA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There are certain words in this Statement that warrant attention, for example, the “shall” in “each eligible agency ‘shall’ use not less than 82.5%.” That means that every AEFLA grantee must comply with this requirement. There is a floor of 82.5% of AEFLA funds that must be awarded, on a competitive basis, to eligible providers. </w:t>
      </w:r>
      <w:r w:rsidRPr="00944CCC">
        <w:rPr>
          <w:rFonts w:ascii="Open Sans" w:hAnsi="Open Sans" w:cs="Open Sans"/>
          <w:lang w:eastAsia="ja-JP"/>
        </w:rPr>
        <w:lastRenderedPageBreak/>
        <w:t xml:space="preserve">That's 82.5% out of the federal grant that the Office of Career, Technical, and Adult Education or OCTAE awards to a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agency. A State may choose to award more, but not less than 82.5% of their AEFLA funds through the competitive process. </w:t>
      </w:r>
    </w:p>
    <w:p w14:paraId="4E46447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terms of the competitive processes, WIOA section 231 refers to the funds known as the basic State grant. </w:t>
      </w:r>
    </w:p>
    <w:p w14:paraId="78BD1C5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section 231, you will find answers to questions about provisions that apply to grants and contracts to local providers, such as:</w:t>
      </w:r>
    </w:p>
    <w:p w14:paraId="09F4F54C" w14:textId="77777777" w:rsidR="00660262" w:rsidRPr="00944CCC" w:rsidRDefault="00660262" w:rsidP="0056051A">
      <w:pPr>
        <w:pStyle w:val="ListParagraph"/>
        <w:numPr>
          <w:ilvl w:val="0"/>
          <w:numId w:val="23"/>
        </w:numPr>
        <w:rPr>
          <w:rFonts w:ascii="Open Sans" w:hAnsi="Open Sans" w:cs="Open Sans"/>
          <w:lang w:eastAsia="ja-JP"/>
        </w:rPr>
      </w:pPr>
      <w:r w:rsidRPr="00944CCC">
        <w:rPr>
          <w:rFonts w:ascii="Open Sans" w:hAnsi="Open Sans" w:cs="Open Sans"/>
          <w:lang w:eastAsia="ja-JP"/>
        </w:rPr>
        <w:t xml:space="preserve">What are the required local activities? </w:t>
      </w:r>
    </w:p>
    <w:p w14:paraId="15732760" w14:textId="77777777" w:rsidR="00660262" w:rsidRPr="00944CCC" w:rsidRDefault="00660262" w:rsidP="0056051A">
      <w:pPr>
        <w:pStyle w:val="ListParagraph"/>
        <w:numPr>
          <w:ilvl w:val="0"/>
          <w:numId w:val="23"/>
        </w:numPr>
        <w:rPr>
          <w:rFonts w:ascii="Open Sans" w:hAnsi="Open Sans" w:cs="Open Sans"/>
          <w:lang w:eastAsia="ja-JP"/>
        </w:rPr>
      </w:pPr>
      <w:r w:rsidRPr="00944CCC">
        <w:rPr>
          <w:rFonts w:ascii="Open Sans" w:hAnsi="Open Sans" w:cs="Open Sans"/>
          <w:lang w:eastAsia="ja-JP"/>
        </w:rPr>
        <w:t xml:space="preserve">What are the requirements for direct and equitable access and same process in running a competition? </w:t>
      </w:r>
    </w:p>
    <w:p w14:paraId="7DBA3B47" w14:textId="77777777" w:rsidR="00660262" w:rsidRPr="00944CCC" w:rsidRDefault="00660262" w:rsidP="0056051A">
      <w:pPr>
        <w:pStyle w:val="ListParagraph"/>
        <w:numPr>
          <w:ilvl w:val="0"/>
          <w:numId w:val="23"/>
        </w:numPr>
        <w:rPr>
          <w:rFonts w:ascii="Open Sans" w:hAnsi="Open Sans" w:cs="Open Sans"/>
          <w:lang w:eastAsia="ja-JP"/>
        </w:rPr>
      </w:pPr>
      <w:r w:rsidRPr="00944CCC">
        <w:rPr>
          <w:rFonts w:ascii="Open Sans" w:hAnsi="Open Sans" w:cs="Open Sans"/>
          <w:lang w:eastAsia="ja-JP"/>
        </w:rPr>
        <w:t xml:space="preserve">What is the special rule in section 231 regarding family literacy? </w:t>
      </w:r>
    </w:p>
    <w:p w14:paraId="6C8115D7" w14:textId="77777777" w:rsidR="00660262" w:rsidRPr="00944CCC" w:rsidRDefault="00660262" w:rsidP="0056051A">
      <w:pPr>
        <w:pStyle w:val="ListParagraph"/>
        <w:numPr>
          <w:ilvl w:val="0"/>
          <w:numId w:val="23"/>
        </w:numPr>
        <w:rPr>
          <w:rFonts w:ascii="Open Sans" w:hAnsi="Open Sans" w:cs="Open Sans"/>
          <w:lang w:eastAsia="ja-JP"/>
        </w:rPr>
      </w:pPr>
      <w:r w:rsidRPr="00944CCC">
        <w:rPr>
          <w:rFonts w:ascii="Open Sans" w:hAnsi="Open Sans" w:cs="Open Sans"/>
          <w:lang w:eastAsia="ja-JP"/>
        </w:rPr>
        <w:t>What are the 13 considerations that an eligible agency must consider when awarding grants to eligible providers?</w:t>
      </w:r>
    </w:p>
    <w:p w14:paraId="2F2FCD7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addition to the language in WIOA section 231, regulations were developed to clarify statutory requirements. </w:t>
      </w:r>
    </w:p>
    <w:p w14:paraId="57EA51E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 key component of the AEFLA regulations regarding AEFLA competitions is found in title 34 of the Code of Federal Regulations, or 34 CFR part 463 Subpart C. All of Subpart C speaks to how a State makes awards to eligible providers. </w:t>
      </w:r>
    </w:p>
    <w:p w14:paraId="5354040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34 CFR Subpart C contains regulations pertaining to:</w:t>
      </w:r>
    </w:p>
    <w:p w14:paraId="592C1BFF" w14:textId="77777777" w:rsidR="00660262" w:rsidRPr="00944CCC" w:rsidRDefault="00660262" w:rsidP="0056051A">
      <w:pPr>
        <w:pStyle w:val="ListParagraph"/>
        <w:numPr>
          <w:ilvl w:val="0"/>
          <w:numId w:val="24"/>
        </w:numPr>
        <w:rPr>
          <w:rFonts w:ascii="Open Sans" w:hAnsi="Open Sans" w:cs="Open Sans"/>
          <w:lang w:eastAsia="ja-JP"/>
        </w:rPr>
      </w:pPr>
      <w:r w:rsidRPr="00944CCC">
        <w:rPr>
          <w:rFonts w:ascii="Open Sans" w:hAnsi="Open Sans" w:cs="Open Sans"/>
          <w:lang w:eastAsia="ja-JP"/>
        </w:rPr>
        <w:t>The process an eligible agency must follow in awarding grants or contracts to local providers</w:t>
      </w:r>
    </w:p>
    <w:p w14:paraId="0C3AE519" w14:textId="77777777" w:rsidR="00660262" w:rsidRPr="00944CCC" w:rsidRDefault="00660262" w:rsidP="0056051A">
      <w:pPr>
        <w:pStyle w:val="ListParagraph"/>
        <w:numPr>
          <w:ilvl w:val="0"/>
          <w:numId w:val="25"/>
        </w:numPr>
        <w:rPr>
          <w:rFonts w:ascii="Open Sans" w:hAnsi="Open Sans" w:cs="Open Sans"/>
          <w:lang w:eastAsia="ja-JP"/>
        </w:rPr>
      </w:pPr>
      <w:r w:rsidRPr="00944CCC">
        <w:rPr>
          <w:rFonts w:ascii="Open Sans" w:hAnsi="Open Sans" w:cs="Open Sans"/>
          <w:lang w:eastAsia="ja-JP"/>
        </w:rPr>
        <w:t>The requirement that the applications solicited from local providers are assessed by the local workforce board to see how they align with the local workforce board's plan</w:t>
      </w:r>
    </w:p>
    <w:p w14:paraId="4A73B34B" w14:textId="77777777" w:rsidR="00660262" w:rsidRPr="00944CCC" w:rsidRDefault="00660262" w:rsidP="0056051A">
      <w:pPr>
        <w:pStyle w:val="ListParagraph"/>
        <w:numPr>
          <w:ilvl w:val="0"/>
          <w:numId w:val="25"/>
        </w:numPr>
        <w:rPr>
          <w:rFonts w:ascii="Open Sans" w:hAnsi="Open Sans" w:cs="Open Sans"/>
          <w:lang w:eastAsia="ja-JP"/>
        </w:rPr>
      </w:pPr>
      <w:r w:rsidRPr="00944CCC">
        <w:rPr>
          <w:rFonts w:ascii="Open Sans" w:hAnsi="Open Sans" w:cs="Open Sans"/>
          <w:lang w:eastAsia="ja-JP"/>
        </w:rPr>
        <w:t>The items that must be included in the application</w:t>
      </w:r>
    </w:p>
    <w:p w14:paraId="53B21B76" w14:textId="77777777" w:rsidR="00660262" w:rsidRPr="00944CCC" w:rsidRDefault="00660262" w:rsidP="0056051A">
      <w:pPr>
        <w:pStyle w:val="ListParagraph"/>
        <w:numPr>
          <w:ilvl w:val="0"/>
          <w:numId w:val="25"/>
        </w:numPr>
        <w:rPr>
          <w:rFonts w:ascii="Open Sans" w:hAnsi="Open Sans" w:cs="Open Sans"/>
          <w:lang w:eastAsia="ja-JP"/>
        </w:rPr>
      </w:pPr>
      <w:r w:rsidRPr="00944CCC">
        <w:rPr>
          <w:rFonts w:ascii="Open Sans" w:hAnsi="Open Sans" w:cs="Open Sans"/>
          <w:lang w:eastAsia="ja-JP"/>
        </w:rPr>
        <w:t>Eligibility</w:t>
      </w:r>
    </w:p>
    <w:p w14:paraId="72D46830" w14:textId="77777777" w:rsidR="00660262" w:rsidRPr="00944CCC" w:rsidRDefault="00660262" w:rsidP="0056051A">
      <w:pPr>
        <w:pStyle w:val="ListParagraph"/>
        <w:numPr>
          <w:ilvl w:val="0"/>
          <w:numId w:val="25"/>
        </w:numPr>
        <w:rPr>
          <w:rFonts w:ascii="Open Sans" w:hAnsi="Open Sans" w:cs="Open Sans"/>
          <w:lang w:eastAsia="ja-JP"/>
        </w:rPr>
      </w:pPr>
      <w:r w:rsidRPr="00944CCC">
        <w:rPr>
          <w:rFonts w:ascii="Open Sans" w:hAnsi="Open Sans" w:cs="Open Sans"/>
          <w:lang w:eastAsia="ja-JP"/>
        </w:rPr>
        <w:t>Demonstrated effectiveness</w:t>
      </w:r>
    </w:p>
    <w:p w14:paraId="59ADEFF9" w14:textId="77777777" w:rsidR="00660262" w:rsidRPr="00944CCC" w:rsidRDefault="00660262" w:rsidP="0056051A">
      <w:pPr>
        <w:pStyle w:val="ListParagraph"/>
        <w:numPr>
          <w:ilvl w:val="0"/>
          <w:numId w:val="25"/>
        </w:numPr>
        <w:rPr>
          <w:rFonts w:ascii="Open Sans" w:hAnsi="Open Sans" w:cs="Open Sans"/>
          <w:lang w:eastAsia="ja-JP"/>
        </w:rPr>
      </w:pPr>
      <w:r w:rsidRPr="00944CCC">
        <w:rPr>
          <w:rFonts w:ascii="Open Sans" w:hAnsi="Open Sans" w:cs="Open Sans"/>
          <w:lang w:eastAsia="ja-JP"/>
        </w:rPr>
        <w:t>Local administrative costs requirements, and</w:t>
      </w:r>
    </w:p>
    <w:p w14:paraId="00DC0B16" w14:textId="77777777" w:rsidR="00660262" w:rsidRPr="00944CCC" w:rsidRDefault="00660262" w:rsidP="0056051A">
      <w:pPr>
        <w:pStyle w:val="ListParagraph"/>
        <w:numPr>
          <w:ilvl w:val="0"/>
          <w:numId w:val="25"/>
        </w:numPr>
        <w:rPr>
          <w:rFonts w:ascii="Open Sans" w:hAnsi="Open Sans" w:cs="Open Sans"/>
          <w:lang w:eastAsia="ja-JP"/>
        </w:rPr>
      </w:pPr>
      <w:r w:rsidRPr="00944CCC">
        <w:rPr>
          <w:rFonts w:ascii="Open Sans" w:hAnsi="Open Sans" w:cs="Open Sans"/>
          <w:lang w:eastAsia="ja-JP"/>
        </w:rPr>
        <w:t>Activities that are considered local administrative costs.</w:t>
      </w:r>
    </w:p>
    <w:p w14:paraId="14A2067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These regulations apply to section 231 funds for adult basic education and correctional education programs. They also apply to competitions for funds under WIOA section 243, which is the Integrated Education Literacy and Civics Education, or IELCE program.</w:t>
      </w:r>
    </w:p>
    <w:p w14:paraId="26DFA56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Next, we're going to go through these regulations and explore the process that the State must follow when making awards.</w:t>
      </w:r>
    </w:p>
    <w:p w14:paraId="6CDA3EE5" w14:textId="77777777" w:rsidR="00660262" w:rsidRPr="00944CCC" w:rsidRDefault="00660262" w:rsidP="00944CCC">
      <w:pPr>
        <w:pStyle w:val="Heading3"/>
      </w:pPr>
      <w:bookmarkStart w:id="70" w:name="_Toc163980008"/>
      <w:bookmarkStart w:id="71" w:name="_Toc171600488"/>
      <w:r w:rsidRPr="00944CCC">
        <w:lastRenderedPageBreak/>
        <w:t>The Process States Must Follow When Making Awards</w:t>
      </w:r>
      <w:bookmarkEnd w:id="70"/>
      <w:bookmarkEnd w:id="71"/>
    </w:p>
    <w:p w14:paraId="0BABB5C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AEFLA program regulation in 34 CFR section 463.20 reiterates that eligible agencies must award multiyear grants or contracts on a competitive basis to eligible providers within a State or outlying area to enable the eligible providers to develop, implement, and improve adult education literacy activities within the State. And the key word here is multiyear. </w:t>
      </w:r>
    </w:p>
    <w:p w14:paraId="5569D97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When OCTAE reviews a request for proposals, or RFP, as part of a monitoring review or when we conduct a courtesy review of a State’s RFP, one of the items we check for is that the State has indicated there is at least a two-year grant period. Multiyear is not defined other than it must be greater than one year, but States must specify the number of years for a given grant period in their competition materials.</w:t>
      </w:r>
    </w:p>
    <w:p w14:paraId="58C9080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States cannot run a competition and leave the number of years open-ended or say that the grant period will be extended indefinitely. The RFP must specify the multiyear period, such as two years, three years, four years, et cetera. </w:t>
      </w:r>
    </w:p>
    <w:p w14:paraId="3345747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You'll want to consider what your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situation is and what you think is the appropriate length of time to award grants. Consider the length of time between competitions that would allow new providers the opportunity to compete. That's a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decision.</w:t>
      </w:r>
    </w:p>
    <w:p w14:paraId="0A91F27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It is also a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decision, when drafting the RFP, to identify State priorities and signal State interests in the RFP.</w:t>
      </w:r>
    </w:p>
    <w:p w14:paraId="1C0F950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Now let’s look at what the regulations have to say about the processes involved in a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competition.</w:t>
      </w:r>
    </w:p>
    <w:p w14:paraId="1CD4E03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When you're conducting a competition, a State must ensure that the eligible providers have direct and equitable access to apply and compete for grants or contracts. </w:t>
      </w:r>
    </w:p>
    <w:p w14:paraId="2DA9AFE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For example, a current AEFLA provider cannot receive advanced application information before the application is made available to the public or the State can't encourage certain types of organizations to apply for funding over other types of organizations. </w:t>
      </w:r>
    </w:p>
    <w:p w14:paraId="61CE5E0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States must ensure that the same grant or contract announcement is used for all applicants in a competition and that the same application process is used for all the local applicants.</w:t>
      </w:r>
    </w:p>
    <w:p w14:paraId="44F9167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Finally, the State must use the 13 considerations that are found both in section 231 of WIOA and in the regulations in 34 CFR section 463.20(d). We provide the 13 considerations as a reference in the Playbook.</w:t>
      </w:r>
    </w:p>
    <w:p w14:paraId="22DFC5B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 xml:space="preserve">A State may add additional considerations of the State's own making, but the State may not take away any of the 13 federal considerations. Those are required for your competition. </w:t>
      </w:r>
    </w:p>
    <w:p w14:paraId="7DB112A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Within the competition, the State agency must establish a process for how all eligible applications will be submitted to the local workforce board for review for consistency with the local plan.  </w:t>
      </w:r>
    </w:p>
    <w:p w14:paraId="0D25D00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This is clarified in the AEFLA program regulation 34 CFR section 463.21, which establishes the requirements for a process for a local workforce development board to review the applications for AEFLA funds. This ensures the eligible agency considers the review of local boards in its awarding of grants and contracts for adult education and literacy activities. </w:t>
      </w:r>
    </w:p>
    <w:p w14:paraId="7EAABFC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Local workforce plans also must be in place so that prospective applicants can review the plan and craft their application to align with the activities described in the local plan.</w:t>
      </w:r>
    </w:p>
    <w:p w14:paraId="778D608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Department of Education encourages States to describe, within its application process, how eligible providers will submit their local AEFLA applications directly to the eligible State agency, and the State agency would then be responsible for submitting them to the local workforce boards for review. This approach assists in making the application process efficient in terms of submission, implementing local workforce board review, and receiving recommendations from the local workforce board concerning alignment with the approved local plan.</w:t>
      </w:r>
    </w:p>
    <w:p w14:paraId="05BD36D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Regarding the process of the local board review, States sometimes ask, "What happens if I send them out to the local workforce boards for comment and I don't hear anything back?" </w:t>
      </w:r>
    </w:p>
    <w:p w14:paraId="46ECE20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If you've done due diligence and provided the local workforce board with an opportunity to comment, then you have met the requirement. You may want to follow up with a board that hasn’t responded in case their response was sent but didn’t make it to the State for your consideration. </w:t>
      </w:r>
    </w:p>
    <w:p w14:paraId="08A88BF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We also often get asked, "Do we have to give the local workforce board the entire application and does the local workforce board play a role in the scoring?” The answer is that it’s ok to only share the board alignment part of the application with the local workforce board. If you share the entire application, you might have a local workforce board that's not able to get through all the material. But how much you share is a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decision. </w:t>
      </w:r>
    </w:p>
    <w:p w14:paraId="450EB05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One other note is that the requirement isn't for the local workforce board to play a role in the scoring of the application. The requirement is that they </w:t>
      </w:r>
      <w:proofErr w:type="gramStart"/>
      <w:r w:rsidRPr="00944CCC">
        <w:rPr>
          <w:rFonts w:ascii="Open Sans" w:hAnsi="Open Sans" w:cs="Open Sans"/>
          <w:lang w:eastAsia="ja-JP"/>
        </w:rPr>
        <w:t xml:space="preserve">have the </w:t>
      </w:r>
      <w:r w:rsidRPr="00944CCC">
        <w:rPr>
          <w:rFonts w:ascii="Open Sans" w:hAnsi="Open Sans" w:cs="Open Sans"/>
          <w:lang w:eastAsia="ja-JP"/>
        </w:rPr>
        <w:lastRenderedPageBreak/>
        <w:t>opportunity to</w:t>
      </w:r>
      <w:proofErr w:type="gramEnd"/>
      <w:r w:rsidRPr="00944CCC">
        <w:rPr>
          <w:rFonts w:ascii="Open Sans" w:hAnsi="Open Sans" w:cs="Open Sans"/>
          <w:lang w:eastAsia="ja-JP"/>
        </w:rPr>
        <w:t xml:space="preserve"> provide feedback on alignment with the local plan and that the State considers their feedback. </w:t>
      </w:r>
    </w:p>
    <w:p w14:paraId="5F8FCE1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WIOA section 232 and the regulations in 34 CFR section 463.22 are a good starting point for understanding what a State may require in your local application for AEFLA funds.</w:t>
      </w:r>
    </w:p>
    <w:p w14:paraId="2AE37745" w14:textId="77777777" w:rsidR="00660262" w:rsidRPr="00944CCC" w:rsidRDefault="00660262" w:rsidP="00944CCC">
      <w:pPr>
        <w:pStyle w:val="Heading3"/>
      </w:pPr>
      <w:bookmarkStart w:id="72" w:name="_Toc163980009"/>
      <w:bookmarkStart w:id="73" w:name="_Toc171600489"/>
      <w:r w:rsidRPr="00944CCC">
        <w:t>What Must Be Included in an Application</w:t>
      </w:r>
      <w:bookmarkEnd w:id="72"/>
      <w:bookmarkEnd w:id="73"/>
    </w:p>
    <w:p w14:paraId="73635D2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the WIOA statute, there is a list of the information that a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agency may require from eligible providers. The list includes, but is not limited to: </w:t>
      </w:r>
    </w:p>
    <w:p w14:paraId="45F92E6E" w14:textId="77777777" w:rsidR="00660262" w:rsidRPr="00944CCC" w:rsidRDefault="00660262" w:rsidP="0056051A">
      <w:pPr>
        <w:pStyle w:val="ListParagraph"/>
        <w:numPr>
          <w:ilvl w:val="0"/>
          <w:numId w:val="26"/>
        </w:numPr>
        <w:rPr>
          <w:rFonts w:ascii="Open Sans" w:hAnsi="Open Sans" w:cs="Open Sans"/>
          <w:lang w:eastAsia="ja-JP"/>
        </w:rPr>
      </w:pPr>
      <w:r w:rsidRPr="00944CCC">
        <w:rPr>
          <w:rFonts w:ascii="Open Sans" w:hAnsi="Open Sans" w:cs="Open Sans"/>
          <w:lang w:eastAsia="ja-JP"/>
        </w:rPr>
        <w:t>A description of how funds awarded under this title will be spent consistent with the requirements of this title</w:t>
      </w:r>
    </w:p>
    <w:p w14:paraId="037711A6" w14:textId="77777777" w:rsidR="00660262" w:rsidRPr="00944CCC" w:rsidRDefault="00660262" w:rsidP="0056051A">
      <w:pPr>
        <w:pStyle w:val="ListParagraph"/>
        <w:numPr>
          <w:ilvl w:val="0"/>
          <w:numId w:val="26"/>
        </w:numPr>
        <w:rPr>
          <w:rFonts w:ascii="Open Sans" w:hAnsi="Open Sans" w:cs="Open Sans"/>
          <w:lang w:eastAsia="ja-JP"/>
        </w:rPr>
      </w:pPr>
      <w:r w:rsidRPr="00944CCC">
        <w:rPr>
          <w:rFonts w:ascii="Open Sans" w:hAnsi="Open Sans" w:cs="Open Sans"/>
          <w:lang w:eastAsia="ja-JP"/>
        </w:rPr>
        <w:t>A description of any cooperative arrangements the eligible provider has with other agencies, institutions, or organizations for the delivery of adult education and literacy activities</w:t>
      </w:r>
    </w:p>
    <w:p w14:paraId="09ECBF10" w14:textId="77777777" w:rsidR="00660262" w:rsidRPr="00944CCC" w:rsidRDefault="00660262" w:rsidP="0056051A">
      <w:pPr>
        <w:pStyle w:val="ListParagraph"/>
        <w:numPr>
          <w:ilvl w:val="0"/>
          <w:numId w:val="26"/>
        </w:numPr>
        <w:rPr>
          <w:rFonts w:ascii="Open Sans" w:hAnsi="Open Sans" w:cs="Open Sans"/>
          <w:lang w:eastAsia="ja-JP"/>
        </w:rPr>
      </w:pPr>
      <w:r w:rsidRPr="00944CCC">
        <w:rPr>
          <w:rFonts w:ascii="Open Sans" w:hAnsi="Open Sans" w:cs="Open Sans"/>
          <w:lang w:eastAsia="ja-JP"/>
        </w:rPr>
        <w:t>A description of how the eligible provider will provide services in alignment with the local plan under section 108, including how such provider will promote concurrent enrollment in programs and activities under title I, as appropriate</w:t>
      </w:r>
    </w:p>
    <w:p w14:paraId="5A6A6D4D" w14:textId="77777777" w:rsidR="00660262" w:rsidRPr="00944CCC" w:rsidRDefault="00660262" w:rsidP="0056051A">
      <w:pPr>
        <w:pStyle w:val="ListParagraph"/>
        <w:numPr>
          <w:ilvl w:val="0"/>
          <w:numId w:val="26"/>
        </w:numPr>
        <w:rPr>
          <w:rFonts w:ascii="Open Sans" w:hAnsi="Open Sans" w:cs="Open Sans"/>
          <w:lang w:eastAsia="ja-JP"/>
        </w:rPr>
      </w:pPr>
      <w:r w:rsidRPr="00944CCC">
        <w:rPr>
          <w:rFonts w:ascii="Open Sans" w:hAnsi="Open Sans" w:cs="Open Sans"/>
          <w:lang w:eastAsia="ja-JP"/>
        </w:rPr>
        <w:t>A description of how the eligible provider will meet the State adjusted levels of performance described in section 116(b)(3), including how such provider will collect data to report on such performance indicators</w:t>
      </w:r>
    </w:p>
    <w:p w14:paraId="3FF00E6C" w14:textId="77777777" w:rsidR="00660262" w:rsidRPr="00944CCC" w:rsidRDefault="00660262" w:rsidP="0056051A">
      <w:pPr>
        <w:pStyle w:val="ListParagraph"/>
        <w:numPr>
          <w:ilvl w:val="0"/>
          <w:numId w:val="26"/>
        </w:numPr>
        <w:rPr>
          <w:rFonts w:ascii="Open Sans" w:hAnsi="Open Sans" w:cs="Open Sans"/>
          <w:lang w:eastAsia="ja-JP"/>
        </w:rPr>
      </w:pPr>
      <w:r w:rsidRPr="00944CCC">
        <w:rPr>
          <w:rFonts w:ascii="Open Sans" w:hAnsi="Open Sans" w:cs="Open Sans"/>
          <w:lang w:eastAsia="ja-JP"/>
        </w:rPr>
        <w:t>A description of how the eligible provider will fulfill one-stop partner responsibilities as described in section 121(b)(1)(A), as appropriate</w:t>
      </w:r>
    </w:p>
    <w:p w14:paraId="77660AD7" w14:textId="77777777" w:rsidR="00660262" w:rsidRPr="00944CCC" w:rsidRDefault="00660262" w:rsidP="0056051A">
      <w:pPr>
        <w:pStyle w:val="ListParagraph"/>
        <w:numPr>
          <w:ilvl w:val="0"/>
          <w:numId w:val="26"/>
        </w:numPr>
        <w:rPr>
          <w:rFonts w:ascii="Open Sans" w:hAnsi="Open Sans" w:cs="Open Sans"/>
          <w:lang w:eastAsia="ja-JP"/>
        </w:rPr>
      </w:pPr>
      <w:r w:rsidRPr="00944CCC">
        <w:rPr>
          <w:rFonts w:ascii="Open Sans" w:hAnsi="Open Sans" w:cs="Open Sans"/>
          <w:lang w:eastAsia="ja-JP"/>
        </w:rPr>
        <w:t xml:space="preserve">A description of how the eligible provider will provide services in a manner that meets the needs of eligible individuals, and </w:t>
      </w:r>
    </w:p>
    <w:p w14:paraId="20BAD07F" w14:textId="77777777" w:rsidR="00660262" w:rsidRPr="00944CCC" w:rsidRDefault="00660262" w:rsidP="0056051A">
      <w:pPr>
        <w:pStyle w:val="ListParagraph"/>
        <w:numPr>
          <w:ilvl w:val="0"/>
          <w:numId w:val="26"/>
        </w:numPr>
        <w:rPr>
          <w:rFonts w:ascii="Open Sans" w:hAnsi="Open Sans" w:cs="Open Sans"/>
          <w:lang w:eastAsia="ja-JP"/>
        </w:rPr>
      </w:pPr>
      <w:r w:rsidRPr="00944CCC">
        <w:rPr>
          <w:rFonts w:ascii="Open Sans" w:hAnsi="Open Sans" w:cs="Open Sans"/>
          <w:lang w:eastAsia="ja-JP"/>
        </w:rPr>
        <w:t>Information that addresses the considerations described under section 231(e), as applicable</w:t>
      </w:r>
    </w:p>
    <w:p w14:paraId="39DD4B50" w14:textId="77777777" w:rsidR="00660262" w:rsidRPr="00944CCC" w:rsidRDefault="00660262" w:rsidP="00944CCC">
      <w:pPr>
        <w:pStyle w:val="Heading3"/>
      </w:pPr>
      <w:bookmarkStart w:id="74" w:name="_Toc163980010"/>
      <w:bookmarkStart w:id="75" w:name="_Toc171600490"/>
      <w:r w:rsidRPr="00944CCC">
        <w:t>Who is Eligible to Apply for a Grant or Contract?</w:t>
      </w:r>
      <w:bookmarkEnd w:id="74"/>
      <w:bookmarkEnd w:id="75"/>
      <w:r w:rsidRPr="00944CCC">
        <w:t xml:space="preserve"> </w:t>
      </w:r>
    </w:p>
    <w:p w14:paraId="799F183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Finally, let's spend a little time talking about who is eligible to apply for a grant or contract. </w:t>
      </w:r>
    </w:p>
    <w:p w14:paraId="67712C9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WIOA section 203(5), there’s a definition of an eligible provider that reads as follows: “the term ‘eligible provider’ means an organization that has demonstrated effectiveness in providing adult education and literacy activities...”</w:t>
      </w:r>
    </w:p>
    <w:p w14:paraId="7BC81CE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the statute, you can find an illustrative list of types of organizations that may be eligible to apply for funds, but other organizations, such as for-profit entities, may </w:t>
      </w:r>
      <w:r w:rsidRPr="00944CCC">
        <w:rPr>
          <w:rFonts w:ascii="Open Sans" w:hAnsi="Open Sans" w:cs="Open Sans"/>
          <w:lang w:eastAsia="ja-JP"/>
        </w:rPr>
        <w:lastRenderedPageBreak/>
        <w:t xml:space="preserve">be considered as well, </w:t>
      </w:r>
      <w:proofErr w:type="gramStart"/>
      <w:r w:rsidRPr="00944CCC">
        <w:rPr>
          <w:rFonts w:ascii="Open Sans" w:hAnsi="Open Sans" w:cs="Open Sans"/>
          <w:lang w:eastAsia="ja-JP"/>
        </w:rPr>
        <w:t>as long as</w:t>
      </w:r>
      <w:proofErr w:type="gramEnd"/>
      <w:r w:rsidRPr="00944CCC">
        <w:rPr>
          <w:rFonts w:ascii="Open Sans" w:hAnsi="Open Sans" w:cs="Open Sans"/>
          <w:lang w:eastAsia="ja-JP"/>
        </w:rPr>
        <w:t xml:space="preserve"> they are an organization of demonstrated effectiveness. This definition is further clarified in 34 CFR section 463.23.</w:t>
      </w:r>
    </w:p>
    <w:p w14:paraId="470AB74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States that administer AEFLA through their State Education Agency are required under the Department of Education's General Administrative Regulations, or EDGAR, to provide an opportunity for a hearing if the State disapproves an AEFLA application. Information about the appeals process is found in EDGAR 34 CFR part 76.401 and the regulations specifically address what a State Education Agency must do in terms of a hearing. </w:t>
      </w:r>
    </w:p>
    <w:p w14:paraId="01259F9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Please be mindful if your State administers AEFLA through its Department of Labor, workforce agency, or its community college system, that your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agency may have some sort of hearing and appeals process for competing funds. The appeals process in EDGAR does not apply to non-State Education Agencies. You'll want to check on whether your agency has an appeals process when planning your competition process.</w:t>
      </w:r>
    </w:p>
    <w:p w14:paraId="1B694A2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If your State is a non-State education agency and doesn’t have a formal appeals process, you should be aware of what steps that your State might take if applicants challenge the competition results.</w:t>
      </w:r>
    </w:p>
    <w:p w14:paraId="314EF7F7" w14:textId="77777777" w:rsidR="00660262" w:rsidRPr="00944CCC" w:rsidRDefault="00660262" w:rsidP="00944CCC">
      <w:pPr>
        <w:pStyle w:val="Heading3"/>
      </w:pPr>
      <w:bookmarkStart w:id="76" w:name="_Toc163980011"/>
      <w:bookmarkStart w:id="77" w:name="_Toc171600491"/>
      <w:r w:rsidRPr="00944CCC">
        <w:t>Summary</w:t>
      </w:r>
      <w:bookmarkEnd w:id="76"/>
      <w:bookmarkEnd w:id="77"/>
    </w:p>
    <w:p w14:paraId="3D8B816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Let’s review some of the most important points to remember when running competitions to fund local programs. </w:t>
      </w:r>
    </w:p>
    <w:p w14:paraId="2BEF42B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First, eligible State agencies must award at least 82.5% of AEFLA funds through a multiyear, competitive process to eligible providers within the State or outlying area to enable the eligible provider to develop, implement, and improve adult education and literacy activities within the State.</w:t>
      </w:r>
    </w:p>
    <w:p w14:paraId="14E01C6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Eligible State agencies must also establish uniform procedures within the State for a local Workforce Development Board to review whether the application aligns with local workforce board plans and consider the local board’s feedback.</w:t>
      </w:r>
    </w:p>
    <w:p w14:paraId="74ADBFA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WIOA section 232 and 34 CFR section 463.22 detail what may be included in the application sent to the eligible State agency.</w:t>
      </w:r>
    </w:p>
    <w:p w14:paraId="489D702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It’s also very important to remember that an eligible provider is defined as an organization that has demonstrated effectiveness in providing adult education and literacy activities.</w:t>
      </w:r>
    </w:p>
    <w:p w14:paraId="5AE3B0E0" w14:textId="77777777" w:rsidR="000C4C26" w:rsidRPr="00944CCC" w:rsidRDefault="00660262" w:rsidP="0056051A">
      <w:pPr>
        <w:rPr>
          <w:rFonts w:ascii="Open Sans" w:hAnsi="Open Sans" w:cs="Open Sans"/>
          <w:lang w:eastAsia="ja-JP"/>
        </w:rPr>
      </w:pPr>
      <w:r w:rsidRPr="00944CCC">
        <w:rPr>
          <w:rFonts w:ascii="Open Sans" w:hAnsi="Open Sans" w:cs="Open Sans"/>
          <w:lang w:eastAsia="ja-JP"/>
        </w:rPr>
        <w:t>Be sure to check out the other videos in this series on funding local programs, where we will take a closer look at how organizations demonstrate effectiveness and important requirements on administrative costs. You can also find links to the regulations discussed in this video as well as other helpful information and resources in the Playbook.</w:t>
      </w:r>
    </w:p>
    <w:p w14:paraId="6C056A1F" w14:textId="77777777" w:rsidR="000C4C26" w:rsidRPr="00944CCC" w:rsidRDefault="000C4C26" w:rsidP="0056051A">
      <w:pPr>
        <w:rPr>
          <w:rFonts w:ascii="Open Sans" w:hAnsi="Open Sans" w:cs="Open Sans"/>
          <w:lang w:eastAsia="ja-JP"/>
        </w:rPr>
      </w:pPr>
      <w:r w:rsidRPr="00944CCC">
        <w:rPr>
          <w:rFonts w:ascii="Open Sans" w:hAnsi="Open Sans" w:cs="Open Sans"/>
          <w:lang w:eastAsia="ja-JP"/>
        </w:rPr>
        <w:lastRenderedPageBreak/>
        <w:br w:type="page"/>
      </w:r>
    </w:p>
    <w:p w14:paraId="26C524EB" w14:textId="77777777" w:rsidR="00660262" w:rsidRPr="00944CCC" w:rsidRDefault="00660262" w:rsidP="0056051A">
      <w:pPr>
        <w:pStyle w:val="Heading2"/>
        <w:rPr>
          <w:rFonts w:ascii="Open Sans" w:hAnsi="Open Sans" w:cs="Open Sans"/>
          <w:color w:val="032E53"/>
        </w:rPr>
      </w:pPr>
      <w:bookmarkStart w:id="78" w:name="_Eligibility-Demonstrated_Effectiven"/>
      <w:bookmarkStart w:id="79" w:name="_Toc163980012"/>
      <w:bookmarkStart w:id="80" w:name="_Toc171600492"/>
      <w:bookmarkEnd w:id="78"/>
      <w:r w:rsidRPr="00944CCC">
        <w:rPr>
          <w:rFonts w:ascii="Open Sans" w:hAnsi="Open Sans" w:cs="Open Sans"/>
          <w:color w:val="032E53"/>
        </w:rPr>
        <w:lastRenderedPageBreak/>
        <w:t>Eligibility-Demonstrated Effectiveness</w:t>
      </w:r>
      <w:bookmarkEnd w:id="79"/>
      <w:bookmarkEnd w:id="80"/>
    </w:p>
    <w:p w14:paraId="7426165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this video, we will be looking at how States determine whether a provider is eligible to apply for AEFLA funding, including how demonstrated effectiveness is used in determining eligibility. Eligible providers must be able to demonstrate effectiveness in providing adult education and literacy activities to be eligible to compete for AEFLA funding.</w:t>
      </w:r>
    </w:p>
    <w:p w14:paraId="743533E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This video is part of a series on funding local programs, and after viewing the videos in this series you will be able to:</w:t>
      </w:r>
    </w:p>
    <w:p w14:paraId="3814BBEC" w14:textId="77777777" w:rsidR="00660262" w:rsidRPr="00944CCC" w:rsidRDefault="00660262" w:rsidP="0056051A">
      <w:pPr>
        <w:pStyle w:val="ListParagraph"/>
        <w:numPr>
          <w:ilvl w:val="0"/>
          <w:numId w:val="27"/>
        </w:numPr>
        <w:rPr>
          <w:rFonts w:ascii="Open Sans" w:hAnsi="Open Sans" w:cs="Open Sans"/>
          <w:lang w:eastAsia="ja-JP"/>
        </w:rPr>
      </w:pPr>
      <w:r w:rsidRPr="00944CCC">
        <w:rPr>
          <w:rFonts w:ascii="Open Sans" w:hAnsi="Open Sans" w:cs="Open Sans"/>
          <w:lang w:eastAsia="ja-JP"/>
        </w:rPr>
        <w:t>Identify the statutory and regulatory requirements for the State’s process for funding local programs with AEFLA funds</w:t>
      </w:r>
    </w:p>
    <w:p w14:paraId="0E7A1D96" w14:textId="77777777" w:rsidR="00660262" w:rsidRPr="00944CCC" w:rsidRDefault="00660262" w:rsidP="0056051A">
      <w:pPr>
        <w:pStyle w:val="ListParagraph"/>
        <w:numPr>
          <w:ilvl w:val="0"/>
          <w:numId w:val="27"/>
        </w:numPr>
        <w:rPr>
          <w:rFonts w:ascii="Open Sans" w:hAnsi="Open Sans" w:cs="Open Sans"/>
          <w:lang w:eastAsia="ja-JP"/>
        </w:rPr>
      </w:pPr>
      <w:r w:rsidRPr="00944CCC">
        <w:rPr>
          <w:rFonts w:ascii="Open Sans" w:hAnsi="Open Sans" w:cs="Open Sans"/>
          <w:lang w:eastAsia="ja-JP"/>
        </w:rPr>
        <w:t>Discuss the ways organizations can demonstrate effectiveness</w:t>
      </w:r>
    </w:p>
    <w:p w14:paraId="7DCDB697" w14:textId="77777777" w:rsidR="00660262" w:rsidRPr="00944CCC" w:rsidRDefault="00660262" w:rsidP="0056051A">
      <w:pPr>
        <w:pStyle w:val="ListParagraph"/>
        <w:numPr>
          <w:ilvl w:val="0"/>
          <w:numId w:val="27"/>
        </w:numPr>
        <w:rPr>
          <w:rFonts w:ascii="Open Sans" w:hAnsi="Open Sans" w:cs="Open Sans"/>
          <w:lang w:eastAsia="ja-JP"/>
        </w:rPr>
      </w:pPr>
      <w:r w:rsidRPr="00944CCC">
        <w:rPr>
          <w:rFonts w:ascii="Open Sans" w:hAnsi="Open Sans" w:cs="Open Sans"/>
          <w:lang w:eastAsia="ja-JP"/>
        </w:rPr>
        <w:t>Identify other relevant grant procedures for funding local programs</w:t>
      </w:r>
    </w:p>
    <w:p w14:paraId="57E2BA69" w14:textId="77777777" w:rsidR="00660262" w:rsidRPr="00944CCC" w:rsidRDefault="00660262" w:rsidP="0056051A">
      <w:pPr>
        <w:pStyle w:val="ListParagraph"/>
        <w:numPr>
          <w:ilvl w:val="0"/>
          <w:numId w:val="27"/>
        </w:numPr>
        <w:rPr>
          <w:rFonts w:ascii="Open Sans" w:hAnsi="Open Sans" w:cs="Open Sans"/>
          <w:lang w:eastAsia="ja-JP"/>
        </w:rPr>
      </w:pPr>
      <w:r w:rsidRPr="00944CCC">
        <w:rPr>
          <w:rFonts w:ascii="Open Sans" w:hAnsi="Open Sans" w:cs="Open Sans"/>
          <w:lang w:eastAsia="ja-JP"/>
        </w:rPr>
        <w:t>Understand requirements for an appeals process, and</w:t>
      </w:r>
    </w:p>
    <w:p w14:paraId="30163C37" w14:textId="77777777" w:rsidR="00660262" w:rsidRPr="00944CCC" w:rsidRDefault="00660262" w:rsidP="0056051A">
      <w:pPr>
        <w:pStyle w:val="ListParagraph"/>
        <w:numPr>
          <w:ilvl w:val="0"/>
          <w:numId w:val="27"/>
        </w:numPr>
        <w:rPr>
          <w:rFonts w:ascii="Open Sans" w:hAnsi="Open Sans" w:cs="Open Sans"/>
          <w:lang w:eastAsia="ja-JP"/>
        </w:rPr>
      </w:pPr>
      <w:r w:rsidRPr="00944CCC">
        <w:rPr>
          <w:rFonts w:ascii="Open Sans" w:hAnsi="Open Sans" w:cs="Open Sans"/>
          <w:lang w:eastAsia="ja-JP"/>
        </w:rPr>
        <w:t>Understand local administrative costs requirements</w:t>
      </w:r>
    </w:p>
    <w:p w14:paraId="6010DD4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what we cover in this video, you can find more helpful resources in the Playbook.</w:t>
      </w:r>
    </w:p>
    <w:p w14:paraId="0206AC37" w14:textId="77777777" w:rsidR="00660262" w:rsidRPr="00944CCC" w:rsidRDefault="00660262" w:rsidP="00944CCC">
      <w:pPr>
        <w:pStyle w:val="Heading3"/>
      </w:pPr>
      <w:bookmarkStart w:id="81" w:name="_Toc163980013"/>
      <w:bookmarkStart w:id="82" w:name="_Toc171600493"/>
      <w:r w:rsidRPr="00944CCC">
        <w:t>Demonstrated Effectiveness</w:t>
      </w:r>
      <w:bookmarkEnd w:id="81"/>
      <w:bookmarkEnd w:id="82"/>
    </w:p>
    <w:p w14:paraId="55097A4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While the list in WIOA section 203(5) of possible eligible organizations that can apply for AEFLA funds is open-ended, WIOA section 203(5) does contain an important eligibility criterion. An applicant for AEFLA funds must be an organization that has demonstrated effectiveness in providing adult education and literacy activities. How an applicant addresses establishing demonstrated effectiveness is explained in the regulations in 34 CFR section 463.24.</w:t>
      </w:r>
    </w:p>
    <w:p w14:paraId="67A47D1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Determining if an application is from an eligible provider of demonstrated effectiveness is an important first step in the process to consider awarding AEFLA funds. Application materials should clearly address applicant eligibility, incorporate a method for applicants to provide required data for establishing demonstrating effectiveness, and be transparent in how the State intends to evaluate the information to determine applicant eligibility. </w:t>
      </w:r>
    </w:p>
    <w:p w14:paraId="2C5EB10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So, what do we mean by demonstrated effectiveness?</w:t>
      </w:r>
    </w:p>
    <w:p w14:paraId="47BAD1D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34 CFR 463.24 there is a description of what an eligible provider must provide </w:t>
      </w:r>
      <w:proofErr w:type="gramStart"/>
      <w:r w:rsidRPr="00944CCC">
        <w:rPr>
          <w:rFonts w:ascii="Open Sans" w:hAnsi="Open Sans" w:cs="Open Sans"/>
          <w:lang w:eastAsia="ja-JP"/>
        </w:rPr>
        <w:t>in order to</w:t>
      </w:r>
      <w:proofErr w:type="gramEnd"/>
      <w:r w:rsidRPr="00944CCC">
        <w:rPr>
          <w:rFonts w:ascii="Open Sans" w:hAnsi="Open Sans" w:cs="Open Sans"/>
          <w:lang w:eastAsia="ja-JP"/>
        </w:rPr>
        <w:t xml:space="preserve"> establish that it has demonstrated effectiveness in providing adult education and literacy activities. </w:t>
      </w:r>
    </w:p>
    <w:p w14:paraId="651196BF" w14:textId="77777777" w:rsidR="00660262" w:rsidRPr="00944CCC" w:rsidRDefault="00660262" w:rsidP="0056051A">
      <w:pPr>
        <w:rPr>
          <w:rFonts w:ascii="Open Sans" w:hAnsi="Open Sans" w:cs="Open Sans"/>
          <w:lang w:eastAsia="ja-JP"/>
        </w:rPr>
      </w:pPr>
      <w:proofErr w:type="gramStart"/>
      <w:r w:rsidRPr="00944CCC">
        <w:rPr>
          <w:rFonts w:ascii="Open Sans" w:hAnsi="Open Sans" w:cs="Open Sans"/>
          <w:lang w:eastAsia="ja-JP"/>
        </w:rPr>
        <w:t>In order to</w:t>
      </w:r>
      <w:proofErr w:type="gramEnd"/>
      <w:r w:rsidRPr="00944CCC">
        <w:rPr>
          <w:rFonts w:ascii="Open Sans" w:hAnsi="Open Sans" w:cs="Open Sans"/>
          <w:lang w:eastAsia="ja-JP"/>
        </w:rPr>
        <w:t xml:space="preserve"> meet the requirement of establishing demonstrated effectiveness, an applicant must provide </w:t>
      </w:r>
      <w:r w:rsidRPr="00944CCC">
        <w:rPr>
          <w:rFonts w:ascii="Open Sans" w:hAnsi="Open Sans" w:cs="Open Sans"/>
          <w:bCs/>
          <w:lang w:eastAsia="ja-JP"/>
        </w:rPr>
        <w:t>data</w:t>
      </w:r>
      <w:r w:rsidRPr="00944CCC">
        <w:rPr>
          <w:rFonts w:ascii="Open Sans" w:hAnsi="Open Sans" w:cs="Open Sans"/>
          <w:b/>
          <w:lang w:eastAsia="ja-JP"/>
        </w:rPr>
        <w:t xml:space="preserve"> </w:t>
      </w:r>
      <w:r w:rsidRPr="00944CCC">
        <w:rPr>
          <w:rFonts w:ascii="Open Sans" w:hAnsi="Open Sans" w:cs="Open Sans"/>
          <w:lang w:eastAsia="ja-JP"/>
        </w:rPr>
        <w:t xml:space="preserve">on its record of improving the skills of eligible </w:t>
      </w:r>
      <w:r w:rsidRPr="00944CCC">
        <w:rPr>
          <w:rFonts w:ascii="Open Sans" w:hAnsi="Open Sans" w:cs="Open Sans"/>
          <w:lang w:eastAsia="ja-JP"/>
        </w:rPr>
        <w:lastRenderedPageBreak/>
        <w:t xml:space="preserve">individuals, particularly those who have low levels of literacy in the content domains of reading, writing, math, English language acquisition, and other subject areas relevant to the services contained in the State's application for funds. </w:t>
      </w:r>
    </w:p>
    <w:p w14:paraId="6ED1159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An applicant must also provide information regarding its outcomes for participants related to employment, attainment of secondary school diploma or its recognized equivalent, and transition to postsecondary education or training.</w:t>
      </w:r>
    </w:p>
    <w:p w14:paraId="6635695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It is very important to understand that there is only </w:t>
      </w:r>
      <w:r w:rsidRPr="00944CCC">
        <w:rPr>
          <w:rFonts w:ascii="Open Sans" w:hAnsi="Open Sans" w:cs="Open Sans"/>
          <w:bCs/>
          <w:iCs/>
          <w:lang w:eastAsia="ja-JP"/>
        </w:rPr>
        <w:t>one</w:t>
      </w:r>
      <w:r w:rsidRPr="00944CCC">
        <w:rPr>
          <w:rFonts w:ascii="Open Sans" w:hAnsi="Open Sans" w:cs="Open Sans"/>
          <w:b/>
          <w:i/>
          <w:lang w:eastAsia="ja-JP"/>
        </w:rPr>
        <w:t xml:space="preserve"> </w:t>
      </w:r>
      <w:r w:rsidRPr="00944CCC">
        <w:rPr>
          <w:rFonts w:ascii="Open Sans" w:hAnsi="Open Sans" w:cs="Open Sans"/>
          <w:lang w:eastAsia="ja-JP"/>
        </w:rPr>
        <w:t xml:space="preserve">eligibility criterion in AEFLA and that is that an eligible applicant must be an organization that has demonstrated effectiveness in providing adult education and literacy activities. </w:t>
      </w:r>
    </w:p>
    <w:p w14:paraId="2A18013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Stating the eligibility criterion at the beginning of an RFP is helpful so that local programs who have not established demonstrated effectiveness do not spend a lot of time on an application for funding that they are not eligible for. </w:t>
      </w:r>
    </w:p>
    <w:p w14:paraId="75F321B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State’s determination of eligibility is a yes or no process to decide if the provider is eligible for their application to be reviewed and scored for funding consideration. </w:t>
      </w:r>
    </w:p>
    <w:p w14:paraId="0B619D6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Ineligible applicants should be informed that their application has been determined to be ineligible for consideration for AEFLA funding. </w:t>
      </w:r>
    </w:p>
    <w:p w14:paraId="3ADF971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How does an eligible provider establish demonstrated effectiveness? There are two ways. An eligible provider that has been funded under AEFLA must provide performance data required under section 116 to demonstrate past effectiveness. In other words, data on the content domains and outcomes previously mentioned. </w:t>
      </w:r>
    </w:p>
    <w:p w14:paraId="2EB402B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An eligible provider that has not been previously funded under AEFLA must provide performance data to demonstrate its past effectiveness in serving basic skills deficient eligible individuals, including evidence of its success in achieving outcomes employment, attainment of the secondary school diploma, and transition to post-secondary or training. </w:t>
      </w:r>
    </w:p>
    <w:p w14:paraId="4AD899D1" w14:textId="77777777" w:rsidR="00660262" w:rsidRPr="00944CCC" w:rsidRDefault="00660262" w:rsidP="0056051A">
      <w:pPr>
        <w:rPr>
          <w:rFonts w:ascii="Open Sans" w:hAnsi="Open Sans" w:cs="Open Sans"/>
          <w:b/>
          <w:bCs/>
          <w:u w:val="single"/>
          <w:lang w:eastAsia="ja-JP"/>
        </w:rPr>
      </w:pPr>
      <w:r w:rsidRPr="00944CCC">
        <w:rPr>
          <w:rFonts w:ascii="Open Sans" w:hAnsi="Open Sans" w:cs="Open Sans"/>
          <w:lang w:eastAsia="ja-JP"/>
        </w:rPr>
        <w:t>A reminder: State agencies must review applications for demonstrated effectiveness data to determine eligibility prior to the eligible applications then being reviewed and scored for funding considerations.</w:t>
      </w:r>
      <w:r w:rsidRPr="00944CCC">
        <w:rPr>
          <w:rFonts w:ascii="Open Sans" w:hAnsi="Open Sans" w:cs="Open Sans"/>
          <w:b/>
          <w:bCs/>
          <w:u w:val="single"/>
          <w:lang w:eastAsia="ja-JP"/>
        </w:rPr>
        <w:t xml:space="preserve"> </w:t>
      </w:r>
      <w:r w:rsidRPr="00944CCC">
        <w:rPr>
          <w:rFonts w:ascii="Open Sans" w:hAnsi="Open Sans" w:cs="Open Sans"/>
          <w:lang w:eastAsia="ja-JP"/>
        </w:rPr>
        <w:t xml:space="preserve"> </w:t>
      </w:r>
    </w:p>
    <w:p w14:paraId="7291CC6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OCTAE has developed a demonstrated effectiveness technical assistance guide, which you can find linked in the Playbook.</w:t>
      </w:r>
    </w:p>
    <w:p w14:paraId="5E5A7CD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It is very important to note that in establishing how the State will determine demonstrated effectiveness, the State has flexibility in determining an acceptable level of past performance data an applicant must meet. The State also has the flexibility to determine the number of years of data applicants are required to submit. </w:t>
      </w:r>
    </w:p>
    <w:p w14:paraId="5073B7E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 xml:space="preserve">One key area to detail is the difference in terminology between demonstrated effectiveness and past effectiveness. </w:t>
      </w:r>
    </w:p>
    <w:p w14:paraId="02628EB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 State will tell local applicants what data must be submitted for review to determine the establishment of demonstrated effectiveness, and the State subsequently makes a yes/no eligibility determination. </w:t>
      </w:r>
    </w:p>
    <w:p w14:paraId="1A0A5AC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It’s recommended to use a data collection tool for establishing demonstrated effectiveness data that is separate and distinct from ones used to collect past performance data that will be considered later in the review process.</w:t>
      </w:r>
    </w:p>
    <w:p w14:paraId="1A4A2D2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For example, a table labeled “Demonstrated Effectiveness” and containing the exact elements of demonstrated effectiveness identified in the regulations may improve an applicant’s understanding of eligibility requirements and help the applicant to distinguish it from the consideration of “past effectiveness.”  </w:t>
      </w:r>
    </w:p>
    <w:p w14:paraId="2AB361B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Those organizations that are eligible, because they've provided the data the State required in terms of types and years of data and what it’s looking for, move into the funding and scoring phase of the competition. This is where the past effectiveness criterion can be used to assess more deeply the quality of a local program and its data. </w:t>
      </w:r>
    </w:p>
    <w:p w14:paraId="3EB7E7C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Once a State has completed its process to evaluate each application’s data on demonstrated effectiveness, it may advance only those applications that passed the eligibility screening for review and consideration for funding. In awarding grants or contracts, a State must consider 13 factors stipulated in AEFLA section 231(e) and 34 CFR 463.20(d).  These factors are commonly referred to as the “13 considerations.” States generally “score” these factors to demonstrate that they were considered in the competitive process.</w:t>
      </w:r>
    </w:p>
    <w:p w14:paraId="30433EF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One of the factors addresses the past effectiveness of the eligible provider in improving the literacy of eligible individuals and meeting the State-adjusted levels of performance in section 116 especially </w:t>
      </w:r>
      <w:proofErr w:type="gramStart"/>
      <w:r w:rsidRPr="00944CCC">
        <w:rPr>
          <w:rFonts w:ascii="Open Sans" w:hAnsi="Open Sans" w:cs="Open Sans"/>
          <w:lang w:eastAsia="ja-JP"/>
        </w:rPr>
        <w:t>with regard to</w:t>
      </w:r>
      <w:proofErr w:type="gramEnd"/>
      <w:r w:rsidRPr="00944CCC">
        <w:rPr>
          <w:rFonts w:ascii="Open Sans" w:hAnsi="Open Sans" w:cs="Open Sans"/>
          <w:lang w:eastAsia="ja-JP"/>
        </w:rPr>
        <w:t xml:space="preserve"> eligible individuals with low levels of literacy. </w:t>
      </w:r>
    </w:p>
    <w:p w14:paraId="1ED27D3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Rating an application on the past effectiveness consideration cannot be used in lieu of the State conducting an applicant eligibility screening to determine if the application is from an eligible provider that has demonstrated effectiveness. An initial application eligibility determination must be conducted separate and distinct from evaluating applications from eligible providers on the 13 considerations, including the past effectiveness consideration.</w:t>
      </w:r>
    </w:p>
    <w:p w14:paraId="0C1B774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It is possible that an application can be determined to have met the demonstrated effectiveness requirement for the purpose of applicant eligibility, advance to the rating or scoring phase of the competition, and subsequently score poorly on the </w:t>
      </w:r>
      <w:r w:rsidRPr="00944CCC">
        <w:rPr>
          <w:rFonts w:ascii="Open Sans" w:hAnsi="Open Sans" w:cs="Open Sans"/>
          <w:lang w:eastAsia="ja-JP"/>
        </w:rPr>
        <w:lastRenderedPageBreak/>
        <w:t>past effectiveness consideration. In this example, depending on how much weight is placed on the past effectiveness consideration, an application may prove to be non-competitive.</w:t>
      </w:r>
    </w:p>
    <w:p w14:paraId="14BB009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An important note regarding </w:t>
      </w:r>
      <w:proofErr w:type="spellStart"/>
      <w:r w:rsidRPr="00944CCC">
        <w:rPr>
          <w:rFonts w:ascii="Open Sans" w:hAnsi="Open Sans" w:cs="Open Sans"/>
          <w:lang w:eastAsia="ja-JP"/>
        </w:rPr>
        <w:t>consortial</w:t>
      </w:r>
      <w:proofErr w:type="spellEnd"/>
      <w:r w:rsidRPr="00944CCC">
        <w:rPr>
          <w:rFonts w:ascii="Open Sans" w:hAnsi="Open Sans" w:cs="Open Sans"/>
          <w:lang w:eastAsia="ja-JP"/>
        </w:rPr>
        <w:t xml:space="preserve"> applications is that if an application is from a consortium, then each member of that consortium must meet the eligibility requirement of establishing demonstrated effectiveness. That is each consortium member must provide data to establish its demonstrated effectiveness and each member must qualify as an eligible provider of demonstrated effectiveness. </w:t>
      </w:r>
    </w:p>
    <w:p w14:paraId="65132E2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the case where a consortium member might not be providing services, that member still </w:t>
      </w:r>
      <w:proofErr w:type="gramStart"/>
      <w:r w:rsidRPr="00944CCC">
        <w:rPr>
          <w:rFonts w:ascii="Open Sans" w:hAnsi="Open Sans" w:cs="Open Sans"/>
          <w:lang w:eastAsia="ja-JP"/>
        </w:rPr>
        <w:t>has to</w:t>
      </w:r>
      <w:proofErr w:type="gramEnd"/>
      <w:r w:rsidRPr="00944CCC">
        <w:rPr>
          <w:rFonts w:ascii="Open Sans" w:hAnsi="Open Sans" w:cs="Open Sans"/>
          <w:lang w:eastAsia="ja-JP"/>
        </w:rPr>
        <w:t xml:space="preserve"> meet the eligibility requirement that they are an organization of demonstrated effectiveness.</w:t>
      </w:r>
    </w:p>
    <w:p w14:paraId="2BDE3A9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Also keep in mind that if one member of a consortium does not establish that it has demonstrated effectiveness, then the entire consortium is ineligible.</w:t>
      </w:r>
    </w:p>
    <w:p w14:paraId="077AF4C6" w14:textId="77777777" w:rsidR="00660262" w:rsidRPr="00944CCC" w:rsidRDefault="00660262" w:rsidP="00944CCC">
      <w:pPr>
        <w:pStyle w:val="Heading3"/>
      </w:pPr>
      <w:bookmarkStart w:id="83" w:name="_Toc163980014"/>
      <w:bookmarkStart w:id="84" w:name="_Toc171600494"/>
      <w:r w:rsidRPr="00944CCC">
        <w:t>Summary</w:t>
      </w:r>
      <w:bookmarkEnd w:id="83"/>
      <w:bookmarkEnd w:id="84"/>
    </w:p>
    <w:p w14:paraId="130D06B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summary, only organizations that have established demonstrated effectiveness in providing adult education and literacy activities are eligible for AEFLA funding.</w:t>
      </w:r>
    </w:p>
    <w:p w14:paraId="75C6F8C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Demonstrated effectiveness can be shown in two ways. The first is for previously AEFLA-funded eligible providers to provide the performance data under WIOA section 116. The second is for eligible providers who have not been previously funded under AEFLA to provide performance data on past effectiveness in serving basic skills deficient individuals, including success in achieving outcomes.</w:t>
      </w:r>
    </w:p>
    <w:p w14:paraId="6D4234B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It’s also important to remember that all members of a consortium must meet the eligibility requirement of establishing demonstrated effectiveness </w:t>
      </w:r>
      <w:proofErr w:type="gramStart"/>
      <w:r w:rsidRPr="00944CCC">
        <w:rPr>
          <w:rFonts w:ascii="Open Sans" w:hAnsi="Open Sans" w:cs="Open Sans"/>
          <w:lang w:eastAsia="ja-JP"/>
        </w:rPr>
        <w:t>in order for</w:t>
      </w:r>
      <w:proofErr w:type="gramEnd"/>
      <w:r w:rsidRPr="00944CCC">
        <w:rPr>
          <w:rFonts w:ascii="Open Sans" w:hAnsi="Open Sans" w:cs="Open Sans"/>
          <w:lang w:eastAsia="ja-JP"/>
        </w:rPr>
        <w:t xml:space="preserve"> the consortium to be eligible for consideration for AEFLA funding. </w:t>
      </w:r>
    </w:p>
    <w:p w14:paraId="1FED55A1" w14:textId="77777777" w:rsidR="000C4C26" w:rsidRPr="00944CCC" w:rsidRDefault="00660262" w:rsidP="0056051A">
      <w:pPr>
        <w:rPr>
          <w:rFonts w:ascii="Open Sans" w:hAnsi="Open Sans" w:cs="Open Sans"/>
          <w:lang w:eastAsia="ja-JP"/>
        </w:rPr>
      </w:pPr>
      <w:r w:rsidRPr="00944CCC">
        <w:rPr>
          <w:rFonts w:ascii="Open Sans" w:hAnsi="Open Sans" w:cs="Open Sans"/>
          <w:lang w:eastAsia="ja-JP"/>
        </w:rPr>
        <w:t>Be sure to check out the other videos in this series and to review the resources in the Playbook for more information on funding local programs.</w:t>
      </w:r>
    </w:p>
    <w:p w14:paraId="6EFAD2C8" w14:textId="77777777" w:rsidR="000C4C26" w:rsidRPr="00944CCC" w:rsidRDefault="000C4C26" w:rsidP="0056051A">
      <w:pPr>
        <w:rPr>
          <w:rFonts w:ascii="Open Sans" w:hAnsi="Open Sans" w:cs="Open Sans"/>
          <w:lang w:eastAsia="ja-JP"/>
        </w:rPr>
      </w:pPr>
      <w:r w:rsidRPr="00944CCC">
        <w:rPr>
          <w:rFonts w:ascii="Open Sans" w:hAnsi="Open Sans" w:cs="Open Sans"/>
          <w:lang w:eastAsia="ja-JP"/>
        </w:rPr>
        <w:br w:type="page"/>
      </w:r>
    </w:p>
    <w:p w14:paraId="277545EF" w14:textId="77777777" w:rsidR="00660262" w:rsidRPr="00944CCC" w:rsidRDefault="00660262" w:rsidP="0056051A">
      <w:pPr>
        <w:pStyle w:val="Heading2"/>
        <w:rPr>
          <w:rFonts w:ascii="Open Sans" w:hAnsi="Open Sans" w:cs="Open Sans"/>
          <w:color w:val="032E53"/>
        </w:rPr>
      </w:pPr>
      <w:bookmarkStart w:id="85" w:name="_Administrative_Costs"/>
      <w:bookmarkStart w:id="86" w:name="_Toc163980015"/>
      <w:bookmarkStart w:id="87" w:name="_Toc171600495"/>
      <w:bookmarkEnd w:id="85"/>
      <w:r w:rsidRPr="00944CCC">
        <w:rPr>
          <w:rFonts w:ascii="Open Sans" w:hAnsi="Open Sans" w:cs="Open Sans"/>
          <w:color w:val="032E53"/>
        </w:rPr>
        <w:lastRenderedPageBreak/>
        <w:t>Administrative Costs</w:t>
      </w:r>
      <w:bookmarkEnd w:id="86"/>
      <w:bookmarkEnd w:id="87"/>
      <w:r w:rsidRPr="00944CCC">
        <w:rPr>
          <w:rFonts w:ascii="Open Sans" w:hAnsi="Open Sans" w:cs="Open Sans"/>
          <w:color w:val="032E53"/>
        </w:rPr>
        <w:t xml:space="preserve"> </w:t>
      </w:r>
    </w:p>
    <w:p w14:paraId="59089E4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this video, we will go over local administrative costs and allowable administrative activities. This video is part of a series on funding local programs, and after viewing the videos in this series you will be able to:</w:t>
      </w:r>
    </w:p>
    <w:p w14:paraId="3AAD6D20" w14:textId="77777777" w:rsidR="00660262" w:rsidRPr="00944CCC" w:rsidRDefault="00660262" w:rsidP="0056051A">
      <w:pPr>
        <w:pStyle w:val="ListParagraph"/>
        <w:numPr>
          <w:ilvl w:val="0"/>
          <w:numId w:val="27"/>
        </w:numPr>
        <w:rPr>
          <w:rFonts w:ascii="Open Sans" w:hAnsi="Open Sans" w:cs="Open Sans"/>
          <w:lang w:eastAsia="ja-JP"/>
        </w:rPr>
      </w:pPr>
      <w:r w:rsidRPr="00944CCC">
        <w:rPr>
          <w:rFonts w:ascii="Open Sans" w:hAnsi="Open Sans" w:cs="Open Sans"/>
          <w:lang w:eastAsia="ja-JP"/>
        </w:rPr>
        <w:t>Identify the statutory and regulatory requirements for the State’s process for funding local programs with AEFLA funds</w:t>
      </w:r>
    </w:p>
    <w:p w14:paraId="2A404236" w14:textId="77777777" w:rsidR="00660262" w:rsidRPr="00944CCC" w:rsidRDefault="00660262" w:rsidP="0056051A">
      <w:pPr>
        <w:pStyle w:val="ListParagraph"/>
        <w:numPr>
          <w:ilvl w:val="0"/>
          <w:numId w:val="27"/>
        </w:numPr>
        <w:rPr>
          <w:rFonts w:ascii="Open Sans" w:hAnsi="Open Sans" w:cs="Open Sans"/>
          <w:lang w:eastAsia="ja-JP"/>
        </w:rPr>
      </w:pPr>
      <w:r w:rsidRPr="00944CCC">
        <w:rPr>
          <w:rFonts w:ascii="Open Sans" w:hAnsi="Open Sans" w:cs="Open Sans"/>
          <w:lang w:eastAsia="ja-JP"/>
        </w:rPr>
        <w:t>Discuss the ways organizations can demonstrate effectiveness</w:t>
      </w:r>
    </w:p>
    <w:p w14:paraId="7E38E66F" w14:textId="77777777" w:rsidR="00660262" w:rsidRPr="00944CCC" w:rsidRDefault="00660262" w:rsidP="0056051A">
      <w:pPr>
        <w:pStyle w:val="ListParagraph"/>
        <w:numPr>
          <w:ilvl w:val="0"/>
          <w:numId w:val="27"/>
        </w:numPr>
        <w:rPr>
          <w:rFonts w:ascii="Open Sans" w:hAnsi="Open Sans" w:cs="Open Sans"/>
          <w:lang w:eastAsia="ja-JP"/>
        </w:rPr>
      </w:pPr>
      <w:r w:rsidRPr="00944CCC">
        <w:rPr>
          <w:rFonts w:ascii="Open Sans" w:hAnsi="Open Sans" w:cs="Open Sans"/>
          <w:lang w:eastAsia="ja-JP"/>
        </w:rPr>
        <w:t>Identify other relevant grant procedures for funding local programs</w:t>
      </w:r>
    </w:p>
    <w:p w14:paraId="67ED21D7" w14:textId="77777777" w:rsidR="00660262" w:rsidRPr="00944CCC" w:rsidRDefault="00660262" w:rsidP="0056051A">
      <w:pPr>
        <w:pStyle w:val="ListParagraph"/>
        <w:numPr>
          <w:ilvl w:val="0"/>
          <w:numId w:val="27"/>
        </w:numPr>
        <w:rPr>
          <w:rFonts w:ascii="Open Sans" w:hAnsi="Open Sans" w:cs="Open Sans"/>
          <w:lang w:eastAsia="ja-JP"/>
        </w:rPr>
      </w:pPr>
      <w:r w:rsidRPr="00944CCC">
        <w:rPr>
          <w:rFonts w:ascii="Open Sans" w:hAnsi="Open Sans" w:cs="Open Sans"/>
          <w:lang w:eastAsia="ja-JP"/>
        </w:rPr>
        <w:t>Understand requirements for an appeals process, and</w:t>
      </w:r>
    </w:p>
    <w:p w14:paraId="0F381624" w14:textId="77777777" w:rsidR="00660262" w:rsidRPr="00944CCC" w:rsidRDefault="00660262" w:rsidP="0056051A">
      <w:pPr>
        <w:pStyle w:val="ListParagraph"/>
        <w:numPr>
          <w:ilvl w:val="0"/>
          <w:numId w:val="27"/>
        </w:numPr>
        <w:rPr>
          <w:rFonts w:ascii="Open Sans" w:hAnsi="Open Sans" w:cs="Open Sans"/>
          <w:lang w:eastAsia="ja-JP"/>
        </w:rPr>
      </w:pPr>
      <w:r w:rsidRPr="00944CCC">
        <w:rPr>
          <w:rFonts w:ascii="Open Sans" w:hAnsi="Open Sans" w:cs="Open Sans"/>
          <w:lang w:eastAsia="ja-JP"/>
        </w:rPr>
        <w:t>Understand local administrative costs requirements</w:t>
      </w:r>
    </w:p>
    <w:p w14:paraId="75B61F2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what we cover in this video, you can find more helpful resources in the Playbook.</w:t>
      </w:r>
    </w:p>
    <w:p w14:paraId="66D6A862" w14:textId="77777777" w:rsidR="00660262" w:rsidRPr="00944CCC" w:rsidRDefault="00660262" w:rsidP="00944CCC">
      <w:pPr>
        <w:pStyle w:val="Heading3"/>
      </w:pPr>
      <w:bookmarkStart w:id="88" w:name="_Toc163980016"/>
      <w:bookmarkStart w:id="89" w:name="_Toc171600496"/>
      <w:r w:rsidRPr="00944CCC">
        <w:t>Requirements for Local Administrative Costs</w:t>
      </w:r>
      <w:bookmarkEnd w:id="88"/>
      <w:bookmarkEnd w:id="89"/>
      <w:r w:rsidRPr="00944CCC">
        <w:t xml:space="preserve"> </w:t>
      </w:r>
    </w:p>
    <w:p w14:paraId="5406A9D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First, let’s look at the requirements for local administrative costs which are found in section 233 of WIOA. </w:t>
      </w:r>
    </w:p>
    <w:p w14:paraId="1EAF839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Section 233 states that, in general, no more than 5% of the local AEFLA grant or contract funded under section 231 may be used for administrative costs. </w:t>
      </w:r>
    </w:p>
    <w:p w14:paraId="4E5703F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However, there is a special rule in section </w:t>
      </w:r>
      <w:r w:rsidRPr="00944CCC">
        <w:rPr>
          <w:rFonts w:ascii="Open Sans" w:hAnsi="Open Sans" w:cs="Open Sans"/>
          <w:bCs/>
          <w:iCs/>
          <w:lang w:eastAsia="ja-JP"/>
        </w:rPr>
        <w:t>233</w:t>
      </w:r>
      <w:r w:rsidRPr="00944CCC">
        <w:rPr>
          <w:rFonts w:ascii="Open Sans" w:hAnsi="Open Sans" w:cs="Open Sans"/>
          <w:b/>
          <w:i/>
          <w:lang w:eastAsia="ja-JP"/>
        </w:rPr>
        <w:t xml:space="preserve"> </w:t>
      </w:r>
      <w:r w:rsidRPr="00944CCC">
        <w:rPr>
          <w:rFonts w:ascii="Open Sans" w:hAnsi="Open Sans" w:cs="Open Sans"/>
          <w:lang w:eastAsia="ja-JP"/>
        </w:rPr>
        <w:t xml:space="preserve">that states if that 5% amount is too restrictive to allow for </w:t>
      </w:r>
      <w:proofErr w:type="gramStart"/>
      <w:r w:rsidRPr="00944CCC">
        <w:rPr>
          <w:rFonts w:ascii="Open Sans" w:hAnsi="Open Sans" w:cs="Open Sans"/>
          <w:lang w:eastAsia="ja-JP"/>
        </w:rPr>
        <w:t>all of</w:t>
      </w:r>
      <w:proofErr w:type="gramEnd"/>
      <w:r w:rsidRPr="00944CCC">
        <w:rPr>
          <w:rFonts w:ascii="Open Sans" w:hAnsi="Open Sans" w:cs="Open Sans"/>
          <w:lang w:eastAsia="ja-JP"/>
        </w:rPr>
        <w:t xml:space="preserve"> the administrative activities, the eligible provider shall negotiate with the State agency to determine an adequate level of funds to be used for noninstructional purposes.</w:t>
      </w:r>
    </w:p>
    <w:p w14:paraId="7B3F7CE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States should note that WIOA section 243, which is the Integrated Education Literacy and Civics Education, or IELCE program, does not contain an administrative cost limit, nor does it contain a set-aside for State leadership. Because there is no administrative cost limit for section 243, and consistent with the cost principles in the Uniform Administrative Requirements, Cost Principles, and Audit Requirements for Federal Awards at 2 CFR part 200, States may use a reasonable and necessary amount of the funds under section 243 for administrative expenses related to the IELCE program. States may not use section 243 funds for State leadership activities or for State administration of the basic adult education grant. Please see the playbook for Program Memorandum 17-5 regarding local administrative costs. And remember, any cost must be allowable, reasonable, necessary, and allocable. </w:t>
      </w:r>
    </w:p>
    <w:p w14:paraId="4DA7C53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What are some examples of local administrative costs that local providers may charge to the AEFLA grant?</w:t>
      </w:r>
    </w:p>
    <w:p w14:paraId="3846CA3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 xml:space="preserve">WIOA section 233 includes the list of types of local administrative costs including: planning, administration, including carrying out the performance requirements in section 116, professional development, providing services that align with the local plan, and one-stop partner responsibilities. As you can see from this list, a local program may encounter a need for greater than 5% to meet these costs. </w:t>
      </w:r>
    </w:p>
    <w:p w14:paraId="0EC79E8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And please note the costs for one-stop partner responsibilities. When a local provider is delegated the one-stop roles and responsibilities in a local workforce area, it may be reasonable to negotiate a higher local administrative cost amount because one-stop infrastructure costs can only be paid from local administrative funds. And the local must pay the infrastructure costs. The State cannot pay local infrastructure costs.</w:t>
      </w:r>
    </w:p>
    <w:p w14:paraId="1B189980" w14:textId="77777777" w:rsidR="00660262" w:rsidRPr="00944CCC" w:rsidRDefault="00660262" w:rsidP="00944CCC">
      <w:pPr>
        <w:pStyle w:val="Heading3"/>
      </w:pPr>
      <w:bookmarkStart w:id="90" w:name="_Toc163980017"/>
      <w:bookmarkStart w:id="91" w:name="_Toc171600497"/>
      <w:r w:rsidRPr="00944CCC">
        <w:t>Summary</w:t>
      </w:r>
      <w:bookmarkEnd w:id="90"/>
      <w:bookmarkEnd w:id="91"/>
    </w:p>
    <w:p w14:paraId="19C586CA" w14:textId="77777777" w:rsidR="00660262" w:rsidRPr="00944CCC" w:rsidRDefault="00660262" w:rsidP="0056051A">
      <w:pPr>
        <w:rPr>
          <w:rFonts w:ascii="Open Sans" w:hAnsi="Open Sans" w:cs="Open Sans"/>
          <w:lang w:eastAsia="ja-JP"/>
        </w:rPr>
      </w:pPr>
      <w:proofErr w:type="gramStart"/>
      <w:r w:rsidRPr="00944CCC">
        <w:rPr>
          <w:rFonts w:ascii="Open Sans" w:hAnsi="Open Sans" w:cs="Open Sans"/>
          <w:lang w:eastAsia="ja-JP"/>
        </w:rPr>
        <w:t>So</w:t>
      </w:r>
      <w:proofErr w:type="gramEnd"/>
      <w:r w:rsidRPr="00944CCC">
        <w:rPr>
          <w:rFonts w:ascii="Open Sans" w:hAnsi="Open Sans" w:cs="Open Sans"/>
          <w:lang w:eastAsia="ja-JP"/>
        </w:rPr>
        <w:t xml:space="preserve"> in summary, local administrative costs should not exceed 5%, and may be used for planning, administration, including carrying out the requirements of WIOA section 116, professional development, providing adult education services in alignment with local workforce development plans, and fulfilling one-stop partner responsibilities. </w:t>
      </w:r>
    </w:p>
    <w:p w14:paraId="49D0AB3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However, if 5% is too restrictive to allow for </w:t>
      </w:r>
      <w:proofErr w:type="gramStart"/>
      <w:r w:rsidRPr="00944CCC">
        <w:rPr>
          <w:rFonts w:ascii="Open Sans" w:hAnsi="Open Sans" w:cs="Open Sans"/>
          <w:lang w:eastAsia="ja-JP"/>
        </w:rPr>
        <w:t>all of</w:t>
      </w:r>
      <w:proofErr w:type="gramEnd"/>
      <w:r w:rsidRPr="00944CCC">
        <w:rPr>
          <w:rFonts w:ascii="Open Sans" w:hAnsi="Open Sans" w:cs="Open Sans"/>
          <w:lang w:eastAsia="ja-JP"/>
        </w:rPr>
        <w:t xml:space="preserve"> the administrative activities, the eligible provider shall negotiate with the State agency to determine an adequate level of funds to be used for noninstructional purposes.</w:t>
      </w:r>
    </w:p>
    <w:p w14:paraId="6544D01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And remember that there is no cap on administrative costs for IELCE funds, but any cost must be allowable, necessary, reasonable, and allocable.</w:t>
      </w:r>
    </w:p>
    <w:p w14:paraId="1BEFF945" w14:textId="77777777" w:rsidR="000C4C26" w:rsidRPr="00944CCC" w:rsidRDefault="00660262" w:rsidP="0056051A">
      <w:pPr>
        <w:rPr>
          <w:rFonts w:ascii="Open Sans" w:hAnsi="Open Sans" w:cs="Open Sans"/>
          <w:lang w:eastAsia="ja-JP"/>
        </w:rPr>
      </w:pPr>
      <w:r w:rsidRPr="00944CCC">
        <w:rPr>
          <w:rFonts w:ascii="Open Sans" w:hAnsi="Open Sans" w:cs="Open Sans"/>
          <w:lang w:eastAsia="ja-JP"/>
        </w:rPr>
        <w:t>Be sure to check out the other videos in this series and to review the resources in the Playbook for more information on funding local programs.</w:t>
      </w:r>
    </w:p>
    <w:p w14:paraId="603A89A8" w14:textId="77777777" w:rsidR="000C4C26" w:rsidRPr="00944CCC" w:rsidRDefault="000C4C26" w:rsidP="0056051A">
      <w:pPr>
        <w:rPr>
          <w:rFonts w:ascii="Open Sans" w:hAnsi="Open Sans" w:cs="Open Sans"/>
          <w:lang w:eastAsia="ja-JP"/>
        </w:rPr>
      </w:pPr>
      <w:r w:rsidRPr="00944CCC">
        <w:rPr>
          <w:rFonts w:ascii="Open Sans" w:hAnsi="Open Sans" w:cs="Open Sans"/>
          <w:lang w:eastAsia="ja-JP"/>
        </w:rPr>
        <w:br w:type="page"/>
      </w:r>
    </w:p>
    <w:p w14:paraId="40BFD7B6" w14:textId="77777777" w:rsidR="00660262" w:rsidRPr="00944CCC" w:rsidRDefault="00660262" w:rsidP="0056051A">
      <w:pPr>
        <w:pStyle w:val="Heading2"/>
        <w:rPr>
          <w:rFonts w:ascii="Open Sans" w:hAnsi="Open Sans" w:cs="Open Sans"/>
          <w:color w:val="032E53"/>
        </w:rPr>
      </w:pPr>
      <w:bookmarkStart w:id="92" w:name="_Key_Processes"/>
      <w:bookmarkStart w:id="93" w:name="_Toc163980018"/>
      <w:bookmarkStart w:id="94" w:name="_Toc171600498"/>
      <w:bookmarkEnd w:id="92"/>
      <w:r w:rsidRPr="00944CCC">
        <w:rPr>
          <w:rFonts w:ascii="Open Sans" w:hAnsi="Open Sans" w:cs="Open Sans"/>
          <w:color w:val="032E53"/>
        </w:rPr>
        <w:lastRenderedPageBreak/>
        <w:t>Key Processes</w:t>
      </w:r>
      <w:bookmarkEnd w:id="93"/>
      <w:bookmarkEnd w:id="94"/>
    </w:p>
    <w:p w14:paraId="1AC3274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Let’s discuss some of the key processes that States should follow when awarding competitive grants to local providers.</w:t>
      </w:r>
    </w:p>
    <w:p w14:paraId="4BC59CB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requirement for establishing processes for awarding competitive grants can be found in both The Education Department General Administrative Regulations, also known as EDGAR, found in title 34 of the Code of Federal Regulations, or the CFR, section 76.770, and in the Uniform Administrative Requirements, Cost Principles, and Audit Requirements for Federal Awards, also known as the Uniform Guidance, 2 CFR section 200.320.</w:t>
      </w:r>
    </w:p>
    <w:p w14:paraId="7718EEF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These sources State that, “Each State shall have procedures for reviewing and approving applications for subgrants and amendments to those applications, for providing technical assistance, for evaluating projects, and for performing other administrative responsibilities the State has determined are necessary to ensure compliance with applicable statutes and regulations.”</w:t>
      </w:r>
    </w:p>
    <w:p w14:paraId="1295651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We’ll now review eight key processes that fulfill statutory and regulatory requirements, and support efficiency and effectiveness in awarding grant funds to local providers.</w:t>
      </w:r>
    </w:p>
    <w:p w14:paraId="0852C1C0" w14:textId="77777777" w:rsidR="00660262" w:rsidRPr="00944CCC" w:rsidRDefault="00660262" w:rsidP="0056051A">
      <w:pPr>
        <w:pStyle w:val="ListParagraph"/>
        <w:numPr>
          <w:ilvl w:val="0"/>
          <w:numId w:val="28"/>
        </w:numPr>
        <w:rPr>
          <w:rFonts w:ascii="Open Sans" w:hAnsi="Open Sans" w:cs="Open Sans"/>
          <w:lang w:eastAsia="ja-JP"/>
        </w:rPr>
      </w:pPr>
      <w:bookmarkStart w:id="95" w:name="_Toc163980019"/>
      <w:r w:rsidRPr="00944CCC">
        <w:rPr>
          <w:rFonts w:ascii="Open Sans" w:hAnsi="Open Sans" w:cs="Open Sans"/>
          <w:lang w:eastAsia="ja-JP"/>
        </w:rPr>
        <w:t>Forming Your Team</w:t>
      </w:r>
      <w:bookmarkEnd w:id="95"/>
    </w:p>
    <w:p w14:paraId="69DF994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first key process is forming your team.</w:t>
      </w:r>
    </w:p>
    <w:p w14:paraId="4208DB7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Forming a grants team and defining roles fosters collaboration in grant development. It is important to incorporate the expertise of people working in multiple disciplines, including those who have experience running grant competitions. It can be valuable to have team members with experience in writing high-quality requests for proposals, also known as RFPs, and related grant competition materials that adhere to both federal and State-level requirements. In terms of State-level requirements, it is especially important to engage a team member who is fully conversant in your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procurement rules and processes.</w:t>
      </w:r>
    </w:p>
    <w:p w14:paraId="68D747E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If your State has a grants office, you should meet with them to talk about your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procurement rules and processes. It is helpful to recruit the grants office to assist you with developing competition materials, including the RFP, and to solicit their input on a timeline for all the steps required in announcing, reviewing, and awarding grants in your State. They can help you both understand your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guidelines and apply relevant procurement requirements and processes. 2 CFR section 200.319 of the Uniform Guidance states that non-federal entities must have written procedures for procurement transactions, so your State should have </w:t>
      </w:r>
      <w:r w:rsidRPr="00944CCC">
        <w:rPr>
          <w:rFonts w:ascii="Open Sans" w:hAnsi="Open Sans" w:cs="Open Sans"/>
          <w:lang w:eastAsia="ja-JP"/>
        </w:rPr>
        <w:lastRenderedPageBreak/>
        <w:t xml:space="preserve">guidelines that you follow for the AEFLA competition. Your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grants office would have these written policies.</w:t>
      </w:r>
    </w:p>
    <w:p w14:paraId="25EF530C" w14:textId="77777777" w:rsidR="00660262" w:rsidRPr="00944CCC" w:rsidRDefault="00660262" w:rsidP="0056051A">
      <w:pPr>
        <w:rPr>
          <w:rFonts w:ascii="Open Sans" w:hAnsi="Open Sans" w:cs="Open Sans"/>
          <w:lang w:eastAsia="ja-JP"/>
        </w:rPr>
      </w:pPr>
      <w:proofErr w:type="gramStart"/>
      <w:r w:rsidRPr="00944CCC">
        <w:rPr>
          <w:rFonts w:ascii="Open Sans" w:hAnsi="Open Sans" w:cs="Open Sans"/>
          <w:lang w:eastAsia="ja-JP"/>
        </w:rPr>
        <w:t>So</w:t>
      </w:r>
      <w:proofErr w:type="gramEnd"/>
      <w:r w:rsidRPr="00944CCC">
        <w:rPr>
          <w:rFonts w:ascii="Open Sans" w:hAnsi="Open Sans" w:cs="Open Sans"/>
          <w:lang w:eastAsia="ja-JP"/>
        </w:rPr>
        <w:t xml:space="preserve"> your State’s grants office can be a very helpful part of your grant-writing team, but working with the grants office also gives you an opportunity to educate them on AEFLA requirements. </w:t>
      </w:r>
    </w:p>
    <w:p w14:paraId="6951C82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One of the most important steps you can take is to educate your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grants office on AEFLA requirements for competitions, including those found in 34 CFR part 463 subpart C.</w:t>
      </w:r>
    </w:p>
    <w:p w14:paraId="017957D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Subpart C outlines the requirements for awarding AEFLA grants, including those related to ensuring a direct and equitable competition, program eligibility, and engaging local workforce boards in reviewing the applications for alignment with local workforce development plans. </w:t>
      </w:r>
      <w:proofErr w:type="gramStart"/>
      <w:r w:rsidRPr="00944CCC">
        <w:rPr>
          <w:rFonts w:ascii="Open Sans" w:hAnsi="Open Sans" w:cs="Open Sans"/>
          <w:lang w:eastAsia="ja-JP"/>
        </w:rPr>
        <w:t>All of</w:t>
      </w:r>
      <w:proofErr w:type="gramEnd"/>
      <w:r w:rsidRPr="00944CCC">
        <w:rPr>
          <w:rFonts w:ascii="Open Sans" w:hAnsi="Open Sans" w:cs="Open Sans"/>
          <w:lang w:eastAsia="ja-JP"/>
        </w:rPr>
        <w:t xml:space="preserve"> the requirements can be found in the AEFLA regulations in 34 CFR sections 463.20–26.</w:t>
      </w:r>
    </w:p>
    <w:p w14:paraId="272C9A3F" w14:textId="77777777" w:rsidR="00660262" w:rsidRPr="00944CCC" w:rsidRDefault="00660262" w:rsidP="0056051A">
      <w:pPr>
        <w:pStyle w:val="ListParagraph"/>
        <w:numPr>
          <w:ilvl w:val="0"/>
          <w:numId w:val="28"/>
        </w:numPr>
        <w:rPr>
          <w:rFonts w:ascii="Open Sans" w:hAnsi="Open Sans" w:cs="Open Sans"/>
          <w:lang w:eastAsia="ja-JP"/>
        </w:rPr>
      </w:pPr>
      <w:bookmarkStart w:id="96" w:name="_Toc163980020"/>
      <w:r w:rsidRPr="00944CCC">
        <w:rPr>
          <w:rFonts w:ascii="Open Sans" w:hAnsi="Open Sans" w:cs="Open Sans"/>
          <w:lang w:eastAsia="ja-JP"/>
        </w:rPr>
        <w:t>Developing a timeline that includes key dates</w:t>
      </w:r>
      <w:bookmarkEnd w:id="96"/>
    </w:p>
    <w:p w14:paraId="7526180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next key process is to develop a timeline that includes key dates.</w:t>
      </w:r>
    </w:p>
    <w:p w14:paraId="5174081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Your timeline is crucial. You should have a complete timeline from the start of planning the competition to making awards. Remember that it almost always takes more time than you think it will.</w:t>
      </w:r>
    </w:p>
    <w:p w14:paraId="6B681AA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Uniform Guidance 2 CFR sections 200.203 and 200.204 highlights information that </w:t>
      </w:r>
      <w:proofErr w:type="gramStart"/>
      <w:r w:rsidRPr="00944CCC">
        <w:rPr>
          <w:rFonts w:ascii="Open Sans" w:hAnsi="Open Sans" w:cs="Open Sans"/>
          <w:lang w:eastAsia="ja-JP"/>
        </w:rPr>
        <w:t>has to</w:t>
      </w:r>
      <w:proofErr w:type="gramEnd"/>
      <w:r w:rsidRPr="00944CCC">
        <w:rPr>
          <w:rFonts w:ascii="Open Sans" w:hAnsi="Open Sans" w:cs="Open Sans"/>
          <w:lang w:eastAsia="ja-JP"/>
        </w:rPr>
        <w:t xml:space="preserve"> be published by federal agencies who are issuing funding notices. While this applies to federal agencies, it may be considered good practice for the State as well.</w:t>
      </w:r>
    </w:p>
    <w:p w14:paraId="13D4260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States should identify key dates that align with State processes and policies. Timelines should include key dates such as due dates for a Notice of Intent if the State is using one, pre-application submissions, and application submission deadlines.</w:t>
      </w:r>
    </w:p>
    <w:p w14:paraId="4CC3C9F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There is a requirement in 2 CFR section 200.204 for federal agencies to make funding opportunities available for at least 60 calendar days unless the federal agency </w:t>
      </w:r>
      <w:proofErr w:type="gramStart"/>
      <w:r w:rsidRPr="00944CCC">
        <w:rPr>
          <w:rFonts w:ascii="Open Sans" w:hAnsi="Open Sans" w:cs="Open Sans"/>
          <w:lang w:eastAsia="ja-JP"/>
        </w:rPr>
        <w:t>makes a determination</w:t>
      </w:r>
      <w:proofErr w:type="gramEnd"/>
      <w:r w:rsidRPr="00944CCC">
        <w:rPr>
          <w:rFonts w:ascii="Open Sans" w:hAnsi="Open Sans" w:cs="Open Sans"/>
          <w:lang w:eastAsia="ja-JP"/>
        </w:rPr>
        <w:t xml:space="preserve"> that it has less than 60 days available, but 30 days is the absolute minimum number of days it must be available.</w:t>
      </w:r>
    </w:p>
    <w:p w14:paraId="0E27C008" w14:textId="77777777" w:rsidR="00660262" w:rsidRPr="00944CCC" w:rsidRDefault="00660262" w:rsidP="0056051A">
      <w:pPr>
        <w:rPr>
          <w:rFonts w:ascii="Open Sans" w:hAnsi="Open Sans" w:cs="Open Sans"/>
          <w:lang w:eastAsia="ja-JP"/>
        </w:rPr>
      </w:pPr>
      <w:proofErr w:type="gramStart"/>
      <w:r w:rsidRPr="00944CCC">
        <w:rPr>
          <w:rFonts w:ascii="Open Sans" w:hAnsi="Open Sans" w:cs="Open Sans"/>
          <w:lang w:eastAsia="ja-JP"/>
        </w:rPr>
        <w:t>So</w:t>
      </w:r>
      <w:proofErr w:type="gramEnd"/>
      <w:r w:rsidRPr="00944CCC">
        <w:rPr>
          <w:rFonts w:ascii="Open Sans" w:hAnsi="Open Sans" w:cs="Open Sans"/>
          <w:lang w:eastAsia="ja-JP"/>
        </w:rPr>
        <w:t xml:space="preserve"> it’s worth considering: does your State have a timeline requirement for posting funding opportunities? If it does, how long is it?</w:t>
      </w:r>
    </w:p>
    <w:p w14:paraId="25FEA85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Timelines should also include dates for the actual review and the date for awarding the grants.</w:t>
      </w:r>
    </w:p>
    <w:p w14:paraId="358C8BE9" w14:textId="77777777" w:rsidR="00660262" w:rsidRPr="00944CCC" w:rsidRDefault="00660262" w:rsidP="0056051A">
      <w:pPr>
        <w:pStyle w:val="ListParagraph"/>
        <w:numPr>
          <w:ilvl w:val="0"/>
          <w:numId w:val="28"/>
        </w:numPr>
        <w:rPr>
          <w:rFonts w:ascii="Open Sans" w:hAnsi="Open Sans" w:cs="Open Sans"/>
          <w:lang w:eastAsia="ja-JP"/>
        </w:rPr>
      </w:pPr>
      <w:bookmarkStart w:id="97" w:name="_Toc163980021"/>
      <w:r w:rsidRPr="00944CCC">
        <w:rPr>
          <w:rFonts w:ascii="Open Sans" w:hAnsi="Open Sans" w:cs="Open Sans"/>
          <w:lang w:eastAsia="ja-JP"/>
        </w:rPr>
        <w:t>Drafting RFP and scoring guidelines</w:t>
      </w:r>
      <w:bookmarkEnd w:id="97"/>
    </w:p>
    <w:p w14:paraId="6BE04AF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It’s also important to have a process for drafting RFP’s and scoring guidelines.</w:t>
      </w:r>
    </w:p>
    <w:p w14:paraId="16A930C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 xml:space="preserve">The RFP is a tool to communicate your leadership’s visions for adult education in the State. It should also address State-specific procurement requirements. You should check with your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procurement office and possibly legal counsel for any State requirements that need to be included in the RFP. If there are any State requirements, they must be marked as State-imposed requirements in the RFP.</w:t>
      </w:r>
    </w:p>
    <w:p w14:paraId="73C1727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State has some discretion in the scoring and weighting of the 13 considerations from WIOA section 231(e). These weights should: </w:t>
      </w:r>
    </w:p>
    <w:p w14:paraId="5F50810A" w14:textId="77777777" w:rsidR="00660262" w:rsidRPr="00944CCC" w:rsidRDefault="00660262" w:rsidP="0056051A">
      <w:pPr>
        <w:pStyle w:val="ListParagraph"/>
        <w:numPr>
          <w:ilvl w:val="0"/>
          <w:numId w:val="29"/>
        </w:numPr>
        <w:rPr>
          <w:rFonts w:ascii="Open Sans" w:hAnsi="Open Sans" w:cs="Open Sans"/>
          <w:lang w:eastAsia="ja-JP"/>
        </w:rPr>
      </w:pPr>
      <w:r w:rsidRPr="00944CCC">
        <w:rPr>
          <w:rFonts w:ascii="Open Sans" w:hAnsi="Open Sans" w:cs="Open Sans"/>
          <w:lang w:eastAsia="ja-JP"/>
        </w:rPr>
        <w:t xml:space="preserve">Reflect your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vision as discussed in your State plan</w:t>
      </w:r>
    </w:p>
    <w:p w14:paraId="2E733FC4" w14:textId="77777777" w:rsidR="00660262" w:rsidRPr="00944CCC" w:rsidRDefault="00660262" w:rsidP="0056051A">
      <w:pPr>
        <w:pStyle w:val="ListParagraph"/>
        <w:numPr>
          <w:ilvl w:val="0"/>
          <w:numId w:val="29"/>
        </w:numPr>
        <w:rPr>
          <w:rFonts w:ascii="Open Sans" w:hAnsi="Open Sans" w:cs="Open Sans"/>
          <w:lang w:eastAsia="ja-JP"/>
        </w:rPr>
      </w:pPr>
      <w:r w:rsidRPr="00944CCC">
        <w:rPr>
          <w:rFonts w:ascii="Open Sans" w:hAnsi="Open Sans" w:cs="Open Sans"/>
          <w:lang w:eastAsia="ja-JP"/>
        </w:rPr>
        <w:t>Be determined in advance of the competition, and</w:t>
      </w:r>
    </w:p>
    <w:p w14:paraId="16620198" w14:textId="77777777" w:rsidR="00660262" w:rsidRPr="00944CCC" w:rsidRDefault="00660262" w:rsidP="0056051A">
      <w:pPr>
        <w:pStyle w:val="ListParagraph"/>
        <w:numPr>
          <w:ilvl w:val="0"/>
          <w:numId w:val="29"/>
        </w:numPr>
        <w:rPr>
          <w:rFonts w:ascii="Open Sans" w:hAnsi="Open Sans" w:cs="Open Sans"/>
          <w:lang w:eastAsia="ja-JP"/>
        </w:rPr>
      </w:pPr>
      <w:r w:rsidRPr="00944CCC">
        <w:rPr>
          <w:rFonts w:ascii="Open Sans" w:hAnsi="Open Sans" w:cs="Open Sans"/>
          <w:lang w:eastAsia="ja-JP"/>
        </w:rPr>
        <w:t>Be communicated in the RFP document</w:t>
      </w:r>
    </w:p>
    <w:p w14:paraId="48E3F152" w14:textId="77777777" w:rsidR="00660262" w:rsidRPr="00944CCC" w:rsidRDefault="00660262" w:rsidP="0056051A">
      <w:pPr>
        <w:pStyle w:val="ListParagraph"/>
        <w:numPr>
          <w:ilvl w:val="0"/>
          <w:numId w:val="28"/>
        </w:numPr>
        <w:rPr>
          <w:rFonts w:ascii="Open Sans" w:hAnsi="Open Sans" w:cs="Open Sans"/>
          <w:lang w:eastAsia="ja-JP"/>
        </w:rPr>
      </w:pPr>
      <w:bookmarkStart w:id="98" w:name="_Toc163980022"/>
      <w:r w:rsidRPr="00944CCC">
        <w:rPr>
          <w:rFonts w:ascii="Open Sans" w:hAnsi="Open Sans" w:cs="Open Sans"/>
          <w:lang w:eastAsia="ja-JP"/>
        </w:rPr>
        <w:t>RFP dissemination and outreach</w:t>
      </w:r>
      <w:bookmarkEnd w:id="98"/>
    </w:p>
    <w:p w14:paraId="6BADAD1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Now let’s </w:t>
      </w:r>
      <w:proofErr w:type="gramStart"/>
      <w:r w:rsidRPr="00944CCC">
        <w:rPr>
          <w:rFonts w:ascii="Open Sans" w:hAnsi="Open Sans" w:cs="Open Sans"/>
          <w:lang w:eastAsia="ja-JP"/>
        </w:rPr>
        <w:t>take a look</w:t>
      </w:r>
      <w:proofErr w:type="gramEnd"/>
      <w:r w:rsidRPr="00944CCC">
        <w:rPr>
          <w:rFonts w:ascii="Open Sans" w:hAnsi="Open Sans" w:cs="Open Sans"/>
          <w:lang w:eastAsia="ja-JP"/>
        </w:rPr>
        <w:t xml:space="preserve"> at some considerations for RFP dissemination and outreach.</w:t>
      </w:r>
    </w:p>
    <w:p w14:paraId="00D6C83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Notifying potential applicants of a new RFP in your State may require some strategic thinking. But planning for wide outreach and dissemination also should be built into your RFP timeline. You might be wondering: How do I get the word out about our RFP? Whom should I send it to? As you think about RFP outreach consider the following: </w:t>
      </w:r>
    </w:p>
    <w:p w14:paraId="4ACCA77F" w14:textId="77777777" w:rsidR="00660262" w:rsidRPr="00944CCC" w:rsidRDefault="00660262" w:rsidP="0056051A">
      <w:pPr>
        <w:pStyle w:val="ListParagraph"/>
        <w:numPr>
          <w:ilvl w:val="0"/>
          <w:numId w:val="30"/>
        </w:numPr>
        <w:rPr>
          <w:rFonts w:ascii="Open Sans" w:hAnsi="Open Sans" w:cs="Open Sans"/>
          <w:lang w:eastAsia="ja-JP"/>
        </w:rPr>
      </w:pPr>
      <w:r w:rsidRPr="00944CCC">
        <w:rPr>
          <w:rFonts w:ascii="Open Sans" w:hAnsi="Open Sans" w:cs="Open Sans"/>
          <w:lang w:eastAsia="ja-JP"/>
        </w:rPr>
        <w:t xml:space="preserve">Section 231(c) of WIOA requires that (1) all eligible providers have direct and equitable access to apply and compete for grants or contracts, and (2) the same grant or contract announcement process and application process is used for all eligible providers in the State or outlying area. The RFP should not be shared with any current or potential providers before the RFP is released to the </w:t>
      </w:r>
      <w:proofErr w:type="gramStart"/>
      <w:r w:rsidRPr="00944CCC">
        <w:rPr>
          <w:rFonts w:ascii="Open Sans" w:hAnsi="Open Sans" w:cs="Open Sans"/>
          <w:lang w:eastAsia="ja-JP"/>
        </w:rPr>
        <w:t>general public</w:t>
      </w:r>
      <w:proofErr w:type="gramEnd"/>
      <w:r w:rsidRPr="00944CCC">
        <w:rPr>
          <w:rFonts w:ascii="Open Sans" w:hAnsi="Open Sans" w:cs="Open Sans"/>
          <w:lang w:eastAsia="ja-JP"/>
        </w:rPr>
        <w:t>!</w:t>
      </w:r>
    </w:p>
    <w:p w14:paraId="28429D17" w14:textId="77777777" w:rsidR="00660262" w:rsidRPr="00944CCC" w:rsidRDefault="00660262" w:rsidP="0056051A">
      <w:pPr>
        <w:pStyle w:val="ListParagraph"/>
        <w:numPr>
          <w:ilvl w:val="0"/>
          <w:numId w:val="30"/>
        </w:numPr>
        <w:rPr>
          <w:rFonts w:ascii="Open Sans" w:hAnsi="Open Sans" w:cs="Open Sans"/>
          <w:lang w:eastAsia="ja-JP"/>
        </w:rPr>
      </w:pPr>
      <w:r w:rsidRPr="00944CCC">
        <w:rPr>
          <w:rFonts w:ascii="Open Sans" w:hAnsi="Open Sans" w:cs="Open Sans"/>
          <w:lang w:eastAsia="ja-JP"/>
        </w:rPr>
        <w:t>It is fine to alert your current grantees about the release of the RFP at the same time or after it has gone public.</w:t>
      </w:r>
    </w:p>
    <w:p w14:paraId="1E913427" w14:textId="77777777" w:rsidR="00660262" w:rsidRPr="00944CCC" w:rsidRDefault="00660262" w:rsidP="0056051A">
      <w:pPr>
        <w:pStyle w:val="ListParagraph"/>
        <w:numPr>
          <w:ilvl w:val="0"/>
          <w:numId w:val="31"/>
        </w:numPr>
        <w:rPr>
          <w:rFonts w:ascii="Open Sans" w:hAnsi="Open Sans" w:cs="Open Sans"/>
          <w:lang w:eastAsia="ja-JP"/>
        </w:rPr>
      </w:pPr>
      <w:r w:rsidRPr="00944CCC">
        <w:rPr>
          <w:rFonts w:ascii="Open Sans" w:hAnsi="Open Sans" w:cs="Open Sans"/>
          <w:lang w:eastAsia="ja-JP"/>
        </w:rPr>
        <w:t>Placing the RFP on your website is considered a release to the public, but many States still take out ads throughout the State in major news publications to achieve the widest release possible and to increase the number of applicants.</w:t>
      </w:r>
    </w:p>
    <w:p w14:paraId="438A89D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Consider the following questions while you plan for your State’s RFP dissemination:</w:t>
      </w:r>
    </w:p>
    <w:p w14:paraId="34D7F15A" w14:textId="77777777" w:rsidR="00660262" w:rsidRPr="00944CCC" w:rsidRDefault="00660262" w:rsidP="0056051A">
      <w:pPr>
        <w:pStyle w:val="ListParagraph"/>
        <w:numPr>
          <w:ilvl w:val="0"/>
          <w:numId w:val="32"/>
        </w:numPr>
        <w:rPr>
          <w:rFonts w:ascii="Open Sans" w:hAnsi="Open Sans" w:cs="Open Sans"/>
          <w:lang w:eastAsia="ja-JP"/>
        </w:rPr>
      </w:pPr>
      <w:r w:rsidRPr="00944CCC">
        <w:rPr>
          <w:rFonts w:ascii="Open Sans" w:hAnsi="Open Sans" w:cs="Open Sans"/>
          <w:lang w:eastAsia="ja-JP"/>
        </w:rPr>
        <w:t>Is the dissemination of the RFP in alignment with the State plan narrative?</w:t>
      </w:r>
    </w:p>
    <w:p w14:paraId="5B52CC28" w14:textId="77777777" w:rsidR="00660262" w:rsidRPr="00944CCC" w:rsidRDefault="00660262" w:rsidP="0056051A">
      <w:pPr>
        <w:pStyle w:val="ListParagraph"/>
        <w:numPr>
          <w:ilvl w:val="0"/>
          <w:numId w:val="32"/>
        </w:numPr>
        <w:rPr>
          <w:rFonts w:ascii="Open Sans" w:hAnsi="Open Sans" w:cs="Open Sans"/>
          <w:lang w:eastAsia="ja-JP"/>
        </w:rPr>
      </w:pPr>
      <w:r w:rsidRPr="00944CCC">
        <w:rPr>
          <w:rFonts w:ascii="Open Sans" w:hAnsi="Open Sans" w:cs="Open Sans"/>
          <w:lang w:eastAsia="ja-JP"/>
        </w:rPr>
        <w:t>Was the narrative in the State plan a general description, and did you improve on the process?</w:t>
      </w:r>
    </w:p>
    <w:p w14:paraId="126EF8CB" w14:textId="77777777" w:rsidR="00660262" w:rsidRPr="00944CCC" w:rsidRDefault="00660262" w:rsidP="0056051A">
      <w:pPr>
        <w:pStyle w:val="ListParagraph"/>
        <w:numPr>
          <w:ilvl w:val="0"/>
          <w:numId w:val="32"/>
        </w:numPr>
        <w:rPr>
          <w:rFonts w:ascii="Open Sans" w:hAnsi="Open Sans" w:cs="Open Sans"/>
          <w:lang w:eastAsia="ja-JP"/>
        </w:rPr>
      </w:pPr>
      <w:r w:rsidRPr="00944CCC">
        <w:rPr>
          <w:rFonts w:ascii="Open Sans" w:hAnsi="Open Sans" w:cs="Open Sans"/>
          <w:lang w:eastAsia="ja-JP"/>
        </w:rPr>
        <w:t xml:space="preserve">If you improved the process, did you document it to be included in a future State plan or document it </w:t>
      </w:r>
      <w:proofErr w:type="gramStart"/>
      <w:r w:rsidRPr="00944CCC">
        <w:rPr>
          <w:rFonts w:ascii="Open Sans" w:hAnsi="Open Sans" w:cs="Open Sans"/>
          <w:lang w:eastAsia="ja-JP"/>
        </w:rPr>
        <w:t>as a way to</w:t>
      </w:r>
      <w:proofErr w:type="gramEnd"/>
      <w:r w:rsidRPr="00944CCC">
        <w:rPr>
          <w:rFonts w:ascii="Open Sans" w:hAnsi="Open Sans" w:cs="Open Sans"/>
          <w:lang w:eastAsia="ja-JP"/>
        </w:rPr>
        <w:t xml:space="preserve"> preserve the process so that the next competition may be improved?</w:t>
      </w:r>
    </w:p>
    <w:p w14:paraId="464B4A8E" w14:textId="77777777" w:rsidR="00660262" w:rsidRPr="00944CCC" w:rsidRDefault="00660262" w:rsidP="0056051A">
      <w:pPr>
        <w:pStyle w:val="ListParagraph"/>
        <w:numPr>
          <w:ilvl w:val="0"/>
          <w:numId w:val="28"/>
        </w:numPr>
        <w:rPr>
          <w:rFonts w:ascii="Open Sans" w:hAnsi="Open Sans" w:cs="Open Sans"/>
          <w:lang w:eastAsia="ja-JP"/>
        </w:rPr>
      </w:pPr>
      <w:bookmarkStart w:id="99" w:name="_Toc163980023"/>
      <w:r w:rsidRPr="00944CCC">
        <w:rPr>
          <w:rFonts w:ascii="Open Sans" w:hAnsi="Open Sans" w:cs="Open Sans"/>
          <w:lang w:eastAsia="ja-JP"/>
        </w:rPr>
        <w:lastRenderedPageBreak/>
        <w:t>Technical assistance and responses to questions</w:t>
      </w:r>
      <w:bookmarkEnd w:id="99"/>
    </w:p>
    <w:p w14:paraId="5177F60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You’ll also need to develop a process for technical assistance and responding to questions.</w:t>
      </w:r>
    </w:p>
    <w:p w14:paraId="0225B56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One way that States can provide technical assistance to potential applicants is by holding a voluntary bidders’ conference. But remember, you can’t </w:t>
      </w:r>
      <w:r w:rsidRPr="00944CCC">
        <w:rPr>
          <w:rFonts w:ascii="Open Sans" w:hAnsi="Open Sans" w:cs="Open Sans"/>
          <w:iCs/>
          <w:lang w:eastAsia="ja-JP"/>
        </w:rPr>
        <w:t>require</w:t>
      </w:r>
      <w:r w:rsidRPr="00944CCC">
        <w:rPr>
          <w:rFonts w:ascii="Open Sans" w:hAnsi="Open Sans" w:cs="Open Sans"/>
          <w:i/>
          <w:lang w:eastAsia="ja-JP"/>
        </w:rPr>
        <w:t xml:space="preserve"> </w:t>
      </w:r>
      <w:r w:rsidRPr="00944CCC">
        <w:rPr>
          <w:rFonts w:ascii="Open Sans" w:hAnsi="Open Sans" w:cs="Open Sans"/>
          <w:lang w:eastAsia="ja-JP"/>
        </w:rPr>
        <w:t xml:space="preserve">a local provider to attend a bidders’ conference </w:t>
      </w:r>
      <w:proofErr w:type="gramStart"/>
      <w:r w:rsidRPr="00944CCC">
        <w:rPr>
          <w:rFonts w:ascii="Open Sans" w:hAnsi="Open Sans" w:cs="Open Sans"/>
          <w:lang w:eastAsia="ja-JP"/>
        </w:rPr>
        <w:t>in order to</w:t>
      </w:r>
      <w:proofErr w:type="gramEnd"/>
      <w:r w:rsidRPr="00944CCC">
        <w:rPr>
          <w:rFonts w:ascii="Open Sans" w:hAnsi="Open Sans" w:cs="Open Sans"/>
          <w:lang w:eastAsia="ja-JP"/>
        </w:rPr>
        <w:t xml:space="preserve"> be allowed to submit an application. You can record the bidders’ conference and post it on your website or hold it as a webinar and then post the transcript on the website. Take the questions from the bidders’ conference and publish them along with the emailed questions with answers. That way, everyone gets the same information, and no one is given an unfair advantage of getting information that no one else has. Your competition process should be transparent and equitable to everyone.</w:t>
      </w:r>
    </w:p>
    <w:p w14:paraId="7BADAC0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Make sure that you have a process to formally modify the RFP if necessary and publicize that as well.</w:t>
      </w:r>
    </w:p>
    <w:p w14:paraId="50AD606F" w14:textId="77777777" w:rsidR="00660262" w:rsidRPr="00944CCC" w:rsidRDefault="00660262" w:rsidP="0056051A">
      <w:pPr>
        <w:pStyle w:val="ListParagraph"/>
        <w:numPr>
          <w:ilvl w:val="0"/>
          <w:numId w:val="28"/>
        </w:numPr>
        <w:rPr>
          <w:rFonts w:ascii="Open Sans" w:hAnsi="Open Sans" w:cs="Open Sans"/>
          <w:lang w:eastAsia="ja-JP"/>
        </w:rPr>
      </w:pPr>
      <w:bookmarkStart w:id="100" w:name="_Toc163980024"/>
      <w:r w:rsidRPr="00944CCC">
        <w:rPr>
          <w:rFonts w:ascii="Open Sans" w:hAnsi="Open Sans" w:cs="Open Sans"/>
          <w:lang w:eastAsia="ja-JP"/>
        </w:rPr>
        <w:t>Sending applications to local workforce boards for review and alignment</w:t>
      </w:r>
      <w:bookmarkEnd w:id="100"/>
    </w:p>
    <w:p w14:paraId="265975A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next key process is sending applications to local workforce boards for review and alignment.</w:t>
      </w:r>
    </w:p>
    <w:p w14:paraId="5102DCF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State agency must establish a process for how all eligible applications will be submitted to the local workforce board for review for consistency with the local plan. This is clarified in the AEFLA program regulation 34 CFR section 463.21, which establishes the requirements for a process for a local workforce development board to review the applications for local plan alignment. This ensures the eligible agency considers the recommendations from the local boards in its awarding of grants and contracts for adult education and literacy activities.</w:t>
      </w:r>
    </w:p>
    <w:p w14:paraId="75E38EA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Appendix A of OCTAE Program Memorandum 17-1, found in the playbook, there is a recommended four-step process for eligible agency review of local AEFLA applications. States should feel free to contact their area coordinator if they have a unique situation that is not addressed in this program memo.</w:t>
      </w:r>
    </w:p>
    <w:p w14:paraId="35E55D5D" w14:textId="77777777" w:rsidR="00660262" w:rsidRPr="00944CCC" w:rsidRDefault="00660262" w:rsidP="0056051A">
      <w:pPr>
        <w:pStyle w:val="ListParagraph"/>
        <w:numPr>
          <w:ilvl w:val="0"/>
          <w:numId w:val="28"/>
        </w:numPr>
        <w:rPr>
          <w:rFonts w:ascii="Open Sans" w:hAnsi="Open Sans" w:cs="Open Sans"/>
          <w:lang w:eastAsia="ja-JP"/>
        </w:rPr>
      </w:pPr>
      <w:bookmarkStart w:id="101" w:name="_Toc163980025"/>
      <w:r w:rsidRPr="00944CCC">
        <w:rPr>
          <w:rFonts w:ascii="Open Sans" w:hAnsi="Open Sans" w:cs="Open Sans"/>
          <w:lang w:eastAsia="ja-JP"/>
        </w:rPr>
        <w:t>Having States review and score applications</w:t>
      </w:r>
      <w:bookmarkEnd w:id="101"/>
    </w:p>
    <w:p w14:paraId="3B3B7C7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Another key process is for State review and scoring of applications.</w:t>
      </w:r>
    </w:p>
    <w:p w14:paraId="7421FC1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As part of the RFP process, you will need to select a team of reviewers for your RFPs.</w:t>
      </w:r>
    </w:p>
    <w:p w14:paraId="56D05CD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selecting reviewers, it’s important to ensure that reviewers have relevant adult education subject matter expertise and do not have a conflict of interest. That is, the outcome of the grant competition should not benefit any reviewer personally. </w:t>
      </w:r>
    </w:p>
    <w:p w14:paraId="12875CC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The competition review timeline should also include the processes for training reviewers, as well as reviewing and scoring AEFLA applications by the competition review team. States have discretion of how they score the 13 considerations that are outlined in section 231 of WIOA. Also, States may include other State priorities when developing a scoring rubric for applications. However, it’s important to build in the appropriate amount of time to recruit and train reviewers, as well as review, and score applications with your review team. This will ensure that all applications are reviewed and scored in the same manner.</w:t>
      </w:r>
    </w:p>
    <w:p w14:paraId="6DFF3DF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As a part of the review and scoring process, the State should notify successful, unsuccessful, and ineligible applicants of the results.</w:t>
      </w:r>
    </w:p>
    <w:p w14:paraId="73F940B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State must also conduct an annual risk assessment. The risk assessment evaluates the local provider’s risk of non-compliance with federal statutes, regulations, and the terms and conditions of their award.</w:t>
      </w:r>
    </w:p>
    <w:p w14:paraId="3C347C6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regulations do not specify when this must be done. However, it may be easier to use the results of the assessment to determine what if any special conditions may be warranted with the grant award. The risk assessment can also be used to determine how the State will monitor the local providers.</w:t>
      </w:r>
    </w:p>
    <w:p w14:paraId="44965A9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Before awarding the grant, the State must negotiate and finalize each local provider’s budget, including indirect cost rates and local administrative cost limits. Keep in mind indirect cost rates and local administrative cost limits are not the same. Some providers may have indirect costs rates negotiated with the federal government and others may not. Please ensure that previously negotiated federal rates are restricted. AEFLA is a supplement, not supplant program.</w:t>
      </w:r>
    </w:p>
    <w:p w14:paraId="571ED38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making your local awards, please refer to the Uniform Guidance 2 CFR section 200.332. It contains the requirements for a State in issuing subawards and the information a subaward must contain.</w:t>
      </w:r>
    </w:p>
    <w:p w14:paraId="54A6FA5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Records retention requirements for your competition materials and administering the AEFLA grant are found in 2 CFR section 200.334. Financial records, supporting documents, statistical records, and all other non-federal entity records pertinent to a federal award must be retained for a period of three years from the date of submission of the final expenditure report or, for federal awards that are renewed quarterly or annually, from the date of the submission of the quarterly or annual financial report, as reported to the federal awarding agency or pass-through entity in the case of a subrecipient. Federal awarding agencies and pass-through entities must not impose any other record retention requirements upon non-federal entities. Please note there are exceptions to </w:t>
      </w:r>
      <w:proofErr w:type="gramStart"/>
      <w:r w:rsidRPr="00944CCC">
        <w:rPr>
          <w:rFonts w:ascii="Open Sans" w:hAnsi="Open Sans" w:cs="Open Sans"/>
          <w:lang w:eastAsia="ja-JP"/>
        </w:rPr>
        <w:t>this</w:t>
      </w:r>
      <w:proofErr w:type="gramEnd"/>
      <w:r w:rsidRPr="00944CCC">
        <w:rPr>
          <w:rFonts w:ascii="Open Sans" w:hAnsi="Open Sans" w:cs="Open Sans"/>
          <w:lang w:eastAsia="ja-JP"/>
        </w:rPr>
        <w:t xml:space="preserve"> and they are found in 2 CFR section 200.334 a through f.</w:t>
      </w:r>
    </w:p>
    <w:p w14:paraId="24DE392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Ensure proper electronic and paper records are maintained for the entire competition process. With comprehensive documentation, it can be easier to provide adequate information if your State is selected for a monitoring review, when there is a key personnel change, or if an applicant appeals a funding decision.</w:t>
      </w:r>
    </w:p>
    <w:p w14:paraId="7C42DEA2" w14:textId="77777777" w:rsidR="00660262" w:rsidRPr="00944CCC" w:rsidRDefault="00660262" w:rsidP="0056051A">
      <w:pPr>
        <w:pStyle w:val="ListParagraph"/>
        <w:numPr>
          <w:ilvl w:val="0"/>
          <w:numId w:val="28"/>
        </w:numPr>
        <w:rPr>
          <w:rFonts w:ascii="Open Sans" w:hAnsi="Open Sans" w:cs="Open Sans"/>
          <w:lang w:eastAsia="ja-JP"/>
        </w:rPr>
      </w:pPr>
      <w:bookmarkStart w:id="102" w:name="_Toc163980026"/>
      <w:r w:rsidRPr="00944CCC">
        <w:rPr>
          <w:rFonts w:ascii="Open Sans" w:hAnsi="Open Sans" w:cs="Open Sans"/>
          <w:lang w:eastAsia="ja-JP"/>
        </w:rPr>
        <w:t xml:space="preserve">Knowing your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appeals process</w:t>
      </w:r>
      <w:bookmarkEnd w:id="102"/>
    </w:p>
    <w:p w14:paraId="2C63F4C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And lastly, a reminder for you to know your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appeals process. We go over more information about the appeals process in the funding local providers videos.</w:t>
      </w:r>
    </w:p>
    <w:p w14:paraId="11B2169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If you’re in a State Education Agency, please see EDGAR 34 CFR section 76.401 for the appeals process. If you’re in a non-State Education Agency, the appeals process in EDGAR does not apply to you and you’ll want to be sure you fully understand your agency’s appeals process, as necessary.</w:t>
      </w:r>
    </w:p>
    <w:p w14:paraId="78195D58" w14:textId="77777777" w:rsidR="00660262" w:rsidRPr="00944CCC" w:rsidRDefault="00660262" w:rsidP="00944CCC">
      <w:pPr>
        <w:pStyle w:val="Heading3"/>
      </w:pPr>
      <w:bookmarkStart w:id="103" w:name="_Toc163980027"/>
      <w:bookmarkStart w:id="104" w:name="_Toc171600499"/>
      <w:r w:rsidRPr="00944CCC">
        <w:t>Summary</w:t>
      </w:r>
      <w:bookmarkEnd w:id="103"/>
      <w:bookmarkEnd w:id="104"/>
    </w:p>
    <w:p w14:paraId="001EE58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So those are the eight key processes for funding local programs. These processes are essential for fulfilling statutory and regulatory requirements and by considering each process before you begin to award grants, you’ll be ready for managing all the different steps in funding local programs.</w:t>
      </w:r>
    </w:p>
    <w:p w14:paraId="3C58C09D" w14:textId="77777777" w:rsidR="000C4C26" w:rsidRPr="00944CCC" w:rsidRDefault="00660262" w:rsidP="0056051A">
      <w:pPr>
        <w:rPr>
          <w:rFonts w:ascii="Open Sans" w:hAnsi="Open Sans" w:cs="Open Sans"/>
          <w:lang w:eastAsia="ja-JP"/>
        </w:rPr>
      </w:pPr>
      <w:r w:rsidRPr="00944CCC">
        <w:rPr>
          <w:rFonts w:ascii="Open Sans" w:hAnsi="Open Sans" w:cs="Open Sans"/>
          <w:lang w:eastAsia="ja-JP"/>
        </w:rPr>
        <w:t>We have listed a summary of these processes in the Playbook, but for any additional questions, please contact your area coordinator.</w:t>
      </w:r>
    </w:p>
    <w:p w14:paraId="33E22CF1" w14:textId="77777777" w:rsidR="000C4C26" w:rsidRPr="00944CCC" w:rsidRDefault="000C4C26" w:rsidP="0056051A">
      <w:pPr>
        <w:rPr>
          <w:rFonts w:ascii="Open Sans" w:hAnsi="Open Sans" w:cs="Open Sans"/>
          <w:lang w:eastAsia="ja-JP"/>
        </w:rPr>
      </w:pPr>
      <w:r w:rsidRPr="00944CCC">
        <w:rPr>
          <w:rFonts w:ascii="Open Sans" w:hAnsi="Open Sans" w:cs="Open Sans"/>
          <w:lang w:eastAsia="ja-JP"/>
        </w:rPr>
        <w:br w:type="page"/>
      </w:r>
    </w:p>
    <w:p w14:paraId="06E2DC9E" w14:textId="77777777" w:rsidR="00660262" w:rsidRPr="00944CCC" w:rsidRDefault="00660262" w:rsidP="0056051A">
      <w:pPr>
        <w:pStyle w:val="Heading2"/>
        <w:rPr>
          <w:rFonts w:ascii="Open Sans" w:hAnsi="Open Sans" w:cs="Open Sans"/>
          <w:color w:val="032E53"/>
        </w:rPr>
      </w:pPr>
      <w:bookmarkStart w:id="105" w:name="_DAEL’s_Monitoring_Process"/>
      <w:bookmarkStart w:id="106" w:name="_Toc163980028"/>
      <w:bookmarkStart w:id="107" w:name="_Toc171600500"/>
      <w:bookmarkEnd w:id="105"/>
      <w:r w:rsidRPr="00944CCC">
        <w:rPr>
          <w:rFonts w:ascii="Open Sans" w:hAnsi="Open Sans" w:cs="Open Sans"/>
          <w:color w:val="032E53"/>
        </w:rPr>
        <w:lastRenderedPageBreak/>
        <w:t>DAEL’s Monitoring Process</w:t>
      </w:r>
      <w:bookmarkEnd w:id="106"/>
      <w:bookmarkEnd w:id="107"/>
    </w:p>
    <w:p w14:paraId="48363C5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this video, we’re going to </w:t>
      </w:r>
      <w:proofErr w:type="gramStart"/>
      <w:r w:rsidRPr="00944CCC">
        <w:rPr>
          <w:rFonts w:ascii="Open Sans" w:hAnsi="Open Sans" w:cs="Open Sans"/>
          <w:lang w:eastAsia="ja-JP"/>
        </w:rPr>
        <w:t>take a look</w:t>
      </w:r>
      <w:proofErr w:type="gramEnd"/>
      <w:r w:rsidRPr="00944CCC">
        <w:rPr>
          <w:rFonts w:ascii="Open Sans" w:hAnsi="Open Sans" w:cs="Open Sans"/>
          <w:lang w:eastAsia="ja-JP"/>
        </w:rPr>
        <w:t xml:space="preserve"> at the DAEL Monitoring Process. DAEL conducts several types of monitoring activities throughout the year, and it’s important to understand what DAEL monitoring entails so you can better prepare for all the different types of monitoring, and so we can help each other deliver the best adult education services possible.</w:t>
      </w:r>
    </w:p>
    <w:p w14:paraId="63B4BBA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By the end of this video, you will:</w:t>
      </w:r>
    </w:p>
    <w:p w14:paraId="278EDEEA" w14:textId="77777777" w:rsidR="00660262" w:rsidRPr="00944CCC" w:rsidRDefault="00660262" w:rsidP="0056051A">
      <w:pPr>
        <w:pStyle w:val="ListParagraph"/>
        <w:numPr>
          <w:ilvl w:val="0"/>
          <w:numId w:val="33"/>
        </w:numPr>
        <w:rPr>
          <w:rFonts w:ascii="Open Sans" w:hAnsi="Open Sans" w:cs="Open Sans"/>
          <w:lang w:eastAsia="ja-JP"/>
        </w:rPr>
      </w:pPr>
      <w:r w:rsidRPr="00944CCC">
        <w:rPr>
          <w:rFonts w:ascii="Open Sans" w:hAnsi="Open Sans" w:cs="Open Sans"/>
          <w:lang w:eastAsia="ja-JP"/>
        </w:rPr>
        <w:t>Understand the five modules that make up DAEL’s monitoring protocol</w:t>
      </w:r>
    </w:p>
    <w:p w14:paraId="2F0A7F2A" w14:textId="77777777" w:rsidR="00660262" w:rsidRPr="00944CCC" w:rsidRDefault="00660262" w:rsidP="0056051A">
      <w:pPr>
        <w:pStyle w:val="ListParagraph"/>
        <w:numPr>
          <w:ilvl w:val="0"/>
          <w:numId w:val="33"/>
        </w:numPr>
        <w:rPr>
          <w:rFonts w:ascii="Open Sans" w:hAnsi="Open Sans" w:cs="Open Sans"/>
          <w:lang w:eastAsia="ja-JP"/>
        </w:rPr>
      </w:pPr>
      <w:r w:rsidRPr="00944CCC">
        <w:rPr>
          <w:rFonts w:ascii="Open Sans" w:hAnsi="Open Sans" w:cs="Open Sans"/>
          <w:lang w:eastAsia="ja-JP"/>
        </w:rPr>
        <w:t>Know the differences between desk, onsite, and virtual monitoring, and</w:t>
      </w:r>
    </w:p>
    <w:p w14:paraId="40BD4506" w14:textId="77777777" w:rsidR="00660262" w:rsidRPr="00944CCC" w:rsidRDefault="00660262" w:rsidP="0056051A">
      <w:pPr>
        <w:pStyle w:val="ListParagraph"/>
        <w:numPr>
          <w:ilvl w:val="0"/>
          <w:numId w:val="33"/>
        </w:numPr>
        <w:rPr>
          <w:rFonts w:ascii="Open Sans" w:hAnsi="Open Sans" w:cs="Open Sans"/>
          <w:lang w:eastAsia="ja-JP"/>
        </w:rPr>
      </w:pPr>
      <w:r w:rsidRPr="00944CCC">
        <w:rPr>
          <w:rFonts w:ascii="Open Sans" w:hAnsi="Open Sans" w:cs="Open Sans"/>
          <w:lang w:eastAsia="ja-JP"/>
        </w:rPr>
        <w:t>Be familiar with some of the steps involved in each type of monitoring</w:t>
      </w:r>
    </w:p>
    <w:p w14:paraId="380DDE0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what we cover in this video, you can find more helpful resources in the Playbook.</w:t>
      </w:r>
    </w:p>
    <w:p w14:paraId="070CA7FD" w14:textId="77777777" w:rsidR="00660262" w:rsidRPr="00944CCC" w:rsidRDefault="00660262" w:rsidP="00944CCC">
      <w:pPr>
        <w:pStyle w:val="Heading3"/>
      </w:pPr>
      <w:bookmarkStart w:id="108" w:name="_Toc163980029"/>
      <w:bookmarkStart w:id="109" w:name="_Toc171600501"/>
      <w:r w:rsidRPr="00944CCC">
        <w:t>DAEL's Monitoring Philosophy</w:t>
      </w:r>
      <w:bookmarkEnd w:id="108"/>
      <w:bookmarkEnd w:id="109"/>
    </w:p>
    <w:p w14:paraId="0B9553C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Office of Career, Technical, and Adult Education, also known as OCTAE, develops an annual monitoring plan for the Adult Education and Family Literacy Act program to uphold the Department's fiduciary responsibility, to ensure funds are used for intended purposes, and to provide timely and appropriate technical assistance to States. In 2018, the Division of Adult Education and Literacy, also known as DAEL, established a monitoring process aligned with the requirements of the Workforce Innovation and Opportunity Act, or WIOA. DAEL’s monitoring process is designed to:</w:t>
      </w:r>
    </w:p>
    <w:p w14:paraId="7ABBBBFA" w14:textId="77777777" w:rsidR="00660262" w:rsidRPr="00944CCC" w:rsidRDefault="00660262" w:rsidP="0056051A">
      <w:pPr>
        <w:pStyle w:val="ListParagraph"/>
        <w:numPr>
          <w:ilvl w:val="0"/>
          <w:numId w:val="33"/>
        </w:numPr>
        <w:rPr>
          <w:rFonts w:ascii="Open Sans" w:hAnsi="Open Sans" w:cs="Open Sans"/>
          <w:lang w:eastAsia="ja-JP"/>
        </w:rPr>
      </w:pPr>
      <w:r w:rsidRPr="00944CCC">
        <w:rPr>
          <w:rFonts w:ascii="Open Sans" w:hAnsi="Open Sans" w:cs="Open Sans"/>
          <w:lang w:eastAsia="ja-JP"/>
        </w:rPr>
        <w:t>Ensure that States meet AEFLA requirements</w:t>
      </w:r>
    </w:p>
    <w:p w14:paraId="0F2758FD" w14:textId="77777777" w:rsidR="00660262" w:rsidRPr="00944CCC" w:rsidRDefault="00660262" w:rsidP="0056051A">
      <w:pPr>
        <w:pStyle w:val="ListParagraph"/>
        <w:numPr>
          <w:ilvl w:val="0"/>
          <w:numId w:val="33"/>
        </w:numPr>
        <w:rPr>
          <w:rFonts w:ascii="Open Sans" w:hAnsi="Open Sans" w:cs="Open Sans"/>
          <w:lang w:eastAsia="ja-JP"/>
        </w:rPr>
      </w:pPr>
      <w:r w:rsidRPr="00944CCC">
        <w:rPr>
          <w:rFonts w:ascii="Open Sans" w:hAnsi="Open Sans" w:cs="Open Sans"/>
          <w:lang w:eastAsia="ja-JP"/>
        </w:rPr>
        <w:t>Improve the quality of federally funded activities</w:t>
      </w:r>
    </w:p>
    <w:p w14:paraId="738D9C6D" w14:textId="77777777" w:rsidR="00660262" w:rsidRPr="00944CCC" w:rsidRDefault="00660262" w:rsidP="0056051A">
      <w:pPr>
        <w:pStyle w:val="ListParagraph"/>
        <w:numPr>
          <w:ilvl w:val="0"/>
          <w:numId w:val="33"/>
        </w:numPr>
        <w:rPr>
          <w:rFonts w:ascii="Open Sans" w:hAnsi="Open Sans" w:cs="Open Sans"/>
          <w:lang w:eastAsia="ja-JP"/>
        </w:rPr>
      </w:pPr>
      <w:proofErr w:type="gramStart"/>
      <w:r w:rsidRPr="00944CCC">
        <w:rPr>
          <w:rFonts w:ascii="Open Sans" w:hAnsi="Open Sans" w:cs="Open Sans"/>
          <w:lang w:eastAsia="ja-JP"/>
        </w:rPr>
        <w:t>Provide assistance</w:t>
      </w:r>
      <w:proofErr w:type="gramEnd"/>
      <w:r w:rsidRPr="00944CCC">
        <w:rPr>
          <w:rFonts w:ascii="Open Sans" w:hAnsi="Open Sans" w:cs="Open Sans"/>
          <w:lang w:eastAsia="ja-JP"/>
        </w:rPr>
        <w:t xml:space="preserve"> in identifying and resolving accountability problems, and</w:t>
      </w:r>
    </w:p>
    <w:p w14:paraId="1AB6FC7C" w14:textId="77777777" w:rsidR="00660262" w:rsidRPr="00944CCC" w:rsidRDefault="00660262" w:rsidP="0056051A">
      <w:pPr>
        <w:pStyle w:val="ListParagraph"/>
        <w:numPr>
          <w:ilvl w:val="0"/>
          <w:numId w:val="33"/>
        </w:numPr>
        <w:rPr>
          <w:rFonts w:ascii="Open Sans" w:hAnsi="Open Sans" w:cs="Open Sans"/>
          <w:lang w:eastAsia="ja-JP"/>
        </w:rPr>
      </w:pPr>
      <w:r w:rsidRPr="00944CCC">
        <w:rPr>
          <w:rFonts w:ascii="Open Sans" w:hAnsi="Open Sans" w:cs="Open Sans"/>
          <w:lang w:eastAsia="ja-JP"/>
        </w:rPr>
        <w:t>Ensure the accuracy, validity, and reliability of data collection and data reporting, and uphold policies and procedures for program accountability</w:t>
      </w:r>
    </w:p>
    <w:p w14:paraId="7900D05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DAEL’s philosophy for monitoring is grounded in five principles. The first is technical assistance. We believe our success is tied to your success. To that end, we provide technical assistance during every monitoring review. </w:t>
      </w:r>
    </w:p>
    <w:p w14:paraId="2F44F19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Second, our approach to monitoring is both standardized and transparent. This is achieved </w:t>
      </w:r>
      <w:proofErr w:type="gramStart"/>
      <w:r w:rsidRPr="00944CCC">
        <w:rPr>
          <w:rFonts w:ascii="Open Sans" w:hAnsi="Open Sans" w:cs="Open Sans"/>
          <w:lang w:eastAsia="ja-JP"/>
        </w:rPr>
        <w:t>through the use of</w:t>
      </w:r>
      <w:proofErr w:type="gramEnd"/>
      <w:r w:rsidRPr="00944CCC">
        <w:rPr>
          <w:rFonts w:ascii="Open Sans" w:hAnsi="Open Sans" w:cs="Open Sans"/>
          <w:lang w:eastAsia="ja-JP"/>
        </w:rPr>
        <w:t xml:space="preserve"> the DAEL monitoring and technical assistance protocol and by providing the States with continual feedback throughout the process. </w:t>
      </w:r>
    </w:p>
    <w:p w14:paraId="02F52E5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Third, our process is data-driven and draws from qualitative and quantitative data, and we strive for triangulation of data from </w:t>
      </w:r>
      <w:proofErr w:type="gramStart"/>
      <w:r w:rsidRPr="00944CCC">
        <w:rPr>
          <w:rFonts w:ascii="Open Sans" w:hAnsi="Open Sans" w:cs="Open Sans"/>
          <w:lang w:eastAsia="ja-JP"/>
        </w:rPr>
        <w:t>a number of</w:t>
      </w:r>
      <w:proofErr w:type="gramEnd"/>
      <w:r w:rsidRPr="00944CCC">
        <w:rPr>
          <w:rFonts w:ascii="Open Sans" w:hAnsi="Open Sans" w:cs="Open Sans"/>
          <w:lang w:eastAsia="ja-JP"/>
        </w:rPr>
        <w:t xml:space="preserve"> sources. </w:t>
      </w:r>
    </w:p>
    <w:p w14:paraId="1300469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Fourth, we take a team approach with clearly articulated roles and responsibilities for members of the federal review team and staff. Lastly, our process upholds high standards of professionalism. These principles drive our entire process from beginning to end. Fidelity and transparency are important components of our monitoring process.</w:t>
      </w:r>
    </w:p>
    <w:p w14:paraId="0CA1713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There are five modules within the monitoring protocol that determine the scope of the review. A review may be onsite or virtual and it may be full, meaning all five modules are conducted, or targeted, meaning less than five modules are conducted.</w:t>
      </w:r>
    </w:p>
    <w:p w14:paraId="288131B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five modules are:</w:t>
      </w:r>
    </w:p>
    <w:p w14:paraId="7F5CC7B7" w14:textId="77777777" w:rsidR="00660262" w:rsidRPr="00944CCC" w:rsidRDefault="00660262" w:rsidP="0056051A">
      <w:pPr>
        <w:pStyle w:val="ListParagraph"/>
        <w:numPr>
          <w:ilvl w:val="0"/>
          <w:numId w:val="34"/>
        </w:numPr>
        <w:rPr>
          <w:rFonts w:ascii="Open Sans" w:hAnsi="Open Sans" w:cs="Open Sans"/>
          <w:lang w:eastAsia="ja-JP"/>
        </w:rPr>
      </w:pPr>
      <w:r w:rsidRPr="00944CCC">
        <w:rPr>
          <w:rFonts w:ascii="Open Sans" w:hAnsi="Open Sans" w:cs="Open Sans"/>
          <w:lang w:eastAsia="ja-JP"/>
        </w:rPr>
        <w:t>Performance accountability</w:t>
      </w:r>
    </w:p>
    <w:p w14:paraId="2566A4F4" w14:textId="77777777" w:rsidR="00660262" w:rsidRPr="00944CCC" w:rsidRDefault="00660262" w:rsidP="0056051A">
      <w:pPr>
        <w:pStyle w:val="ListParagraph"/>
        <w:numPr>
          <w:ilvl w:val="0"/>
          <w:numId w:val="34"/>
        </w:numPr>
        <w:rPr>
          <w:rFonts w:ascii="Open Sans" w:hAnsi="Open Sans" w:cs="Open Sans"/>
          <w:lang w:eastAsia="ja-JP"/>
        </w:rPr>
      </w:pPr>
      <w:r w:rsidRPr="00944CCC">
        <w:rPr>
          <w:rFonts w:ascii="Open Sans" w:hAnsi="Open Sans" w:cs="Open Sans"/>
          <w:lang w:eastAsia="ja-JP"/>
        </w:rPr>
        <w:t>Fiscal</w:t>
      </w:r>
    </w:p>
    <w:p w14:paraId="6DD2E6A6" w14:textId="77777777" w:rsidR="00660262" w:rsidRPr="00944CCC" w:rsidRDefault="00660262" w:rsidP="0056051A">
      <w:pPr>
        <w:pStyle w:val="ListParagraph"/>
        <w:numPr>
          <w:ilvl w:val="0"/>
          <w:numId w:val="34"/>
        </w:numPr>
        <w:rPr>
          <w:rFonts w:ascii="Open Sans" w:hAnsi="Open Sans" w:cs="Open Sans"/>
          <w:lang w:eastAsia="ja-JP"/>
        </w:rPr>
      </w:pPr>
      <w:r w:rsidRPr="00944CCC">
        <w:rPr>
          <w:rFonts w:ascii="Open Sans" w:hAnsi="Open Sans" w:cs="Open Sans"/>
          <w:lang w:eastAsia="ja-JP"/>
        </w:rPr>
        <w:t>State leadership</w:t>
      </w:r>
    </w:p>
    <w:p w14:paraId="4EE76F7B" w14:textId="77777777" w:rsidR="00660262" w:rsidRPr="00944CCC" w:rsidRDefault="00660262" w:rsidP="0056051A">
      <w:pPr>
        <w:pStyle w:val="ListParagraph"/>
        <w:numPr>
          <w:ilvl w:val="0"/>
          <w:numId w:val="34"/>
        </w:numPr>
        <w:rPr>
          <w:rFonts w:ascii="Open Sans" w:hAnsi="Open Sans" w:cs="Open Sans"/>
          <w:lang w:eastAsia="ja-JP"/>
        </w:rPr>
      </w:pPr>
      <w:r w:rsidRPr="00944CCC">
        <w:rPr>
          <w:rFonts w:ascii="Open Sans" w:hAnsi="Open Sans" w:cs="Open Sans"/>
          <w:lang w:eastAsia="ja-JP"/>
        </w:rPr>
        <w:t>Competition and monitoring of local providers, and</w:t>
      </w:r>
    </w:p>
    <w:p w14:paraId="1FACA138" w14:textId="77777777" w:rsidR="00660262" w:rsidRPr="00944CCC" w:rsidRDefault="00660262" w:rsidP="0056051A">
      <w:pPr>
        <w:pStyle w:val="ListParagraph"/>
        <w:numPr>
          <w:ilvl w:val="0"/>
          <w:numId w:val="34"/>
        </w:numPr>
        <w:rPr>
          <w:rFonts w:ascii="Open Sans" w:hAnsi="Open Sans" w:cs="Open Sans"/>
          <w:lang w:eastAsia="ja-JP"/>
        </w:rPr>
      </w:pPr>
      <w:r w:rsidRPr="00944CCC">
        <w:rPr>
          <w:rFonts w:ascii="Open Sans" w:hAnsi="Open Sans" w:cs="Open Sans"/>
          <w:lang w:eastAsia="ja-JP"/>
        </w:rPr>
        <w:t>WIOA shared monitoring</w:t>
      </w:r>
    </w:p>
    <w:p w14:paraId="3CB1AB8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Since our goal is to ensure the review is data-driven, we triangulate data from multiple sources to provide confirmation of observation and remove subjectivity as much as possible. This entails observation and demonstration, which may include:</w:t>
      </w:r>
    </w:p>
    <w:p w14:paraId="070E06C7" w14:textId="77777777" w:rsidR="00660262" w:rsidRPr="00944CCC" w:rsidRDefault="00660262" w:rsidP="0056051A">
      <w:pPr>
        <w:pStyle w:val="ListParagraph"/>
        <w:numPr>
          <w:ilvl w:val="0"/>
          <w:numId w:val="35"/>
        </w:numPr>
        <w:rPr>
          <w:rFonts w:ascii="Open Sans" w:hAnsi="Open Sans" w:cs="Open Sans"/>
          <w:lang w:eastAsia="ja-JP"/>
        </w:rPr>
      </w:pPr>
      <w:r w:rsidRPr="00944CCC">
        <w:rPr>
          <w:rFonts w:ascii="Open Sans" w:hAnsi="Open Sans" w:cs="Open Sans"/>
          <w:lang w:eastAsia="ja-JP"/>
        </w:rPr>
        <w:t>A review of the State management information system, or MIS</w:t>
      </w:r>
    </w:p>
    <w:p w14:paraId="4026C4A1" w14:textId="77777777" w:rsidR="00660262" w:rsidRPr="00944CCC" w:rsidRDefault="00660262" w:rsidP="0056051A">
      <w:pPr>
        <w:pStyle w:val="ListParagraph"/>
        <w:numPr>
          <w:ilvl w:val="0"/>
          <w:numId w:val="35"/>
        </w:numPr>
        <w:rPr>
          <w:rFonts w:ascii="Open Sans" w:hAnsi="Open Sans" w:cs="Open Sans"/>
          <w:lang w:eastAsia="ja-JP"/>
        </w:rPr>
      </w:pPr>
      <w:r w:rsidRPr="00944CCC">
        <w:rPr>
          <w:rFonts w:ascii="Open Sans" w:hAnsi="Open Sans" w:cs="Open Sans"/>
          <w:lang w:eastAsia="ja-JP"/>
        </w:rPr>
        <w:t>Document review</w:t>
      </w:r>
    </w:p>
    <w:p w14:paraId="2A522124" w14:textId="77777777" w:rsidR="00660262" w:rsidRPr="00944CCC" w:rsidRDefault="00660262" w:rsidP="0056051A">
      <w:pPr>
        <w:pStyle w:val="ListParagraph"/>
        <w:numPr>
          <w:ilvl w:val="0"/>
          <w:numId w:val="35"/>
        </w:numPr>
        <w:rPr>
          <w:rFonts w:ascii="Open Sans" w:hAnsi="Open Sans" w:cs="Open Sans"/>
          <w:lang w:eastAsia="ja-JP"/>
        </w:rPr>
      </w:pPr>
      <w:r w:rsidRPr="00944CCC">
        <w:rPr>
          <w:rFonts w:ascii="Open Sans" w:hAnsi="Open Sans" w:cs="Open Sans"/>
          <w:lang w:eastAsia="ja-JP"/>
        </w:rPr>
        <w:t>Interviews with State staff</w:t>
      </w:r>
    </w:p>
    <w:p w14:paraId="2BCE34F3" w14:textId="77777777" w:rsidR="00660262" w:rsidRPr="00944CCC" w:rsidRDefault="00660262" w:rsidP="0056051A">
      <w:pPr>
        <w:pStyle w:val="ListParagraph"/>
        <w:numPr>
          <w:ilvl w:val="0"/>
          <w:numId w:val="35"/>
        </w:numPr>
        <w:rPr>
          <w:rFonts w:ascii="Open Sans" w:hAnsi="Open Sans" w:cs="Open Sans"/>
          <w:lang w:eastAsia="ja-JP"/>
        </w:rPr>
      </w:pPr>
      <w:r w:rsidRPr="00944CCC">
        <w:rPr>
          <w:rFonts w:ascii="Open Sans" w:hAnsi="Open Sans" w:cs="Open Sans"/>
          <w:lang w:eastAsia="ja-JP"/>
        </w:rPr>
        <w:t>Focus groups with local providers and WIOA partners, and</w:t>
      </w:r>
    </w:p>
    <w:p w14:paraId="20D22413" w14:textId="77777777" w:rsidR="00660262" w:rsidRPr="00944CCC" w:rsidRDefault="00660262" w:rsidP="0056051A">
      <w:pPr>
        <w:pStyle w:val="ListParagraph"/>
        <w:numPr>
          <w:ilvl w:val="0"/>
          <w:numId w:val="35"/>
        </w:numPr>
        <w:rPr>
          <w:rFonts w:ascii="Open Sans" w:hAnsi="Open Sans" w:cs="Open Sans"/>
          <w:lang w:eastAsia="ja-JP"/>
        </w:rPr>
      </w:pPr>
      <w:r w:rsidRPr="00944CCC">
        <w:rPr>
          <w:rFonts w:ascii="Open Sans" w:hAnsi="Open Sans" w:cs="Open Sans"/>
          <w:lang w:eastAsia="ja-JP"/>
        </w:rPr>
        <w:t>Local site visits</w:t>
      </w:r>
    </w:p>
    <w:p w14:paraId="38BE9F8E" w14:textId="77777777" w:rsidR="00660262" w:rsidRPr="00944CCC" w:rsidRDefault="00660262" w:rsidP="00944CCC">
      <w:pPr>
        <w:pStyle w:val="Heading3"/>
      </w:pPr>
      <w:bookmarkStart w:id="110" w:name="_Toc163980030"/>
      <w:bookmarkStart w:id="111" w:name="_Toc171600502"/>
      <w:r w:rsidRPr="00944CCC">
        <w:t>Types of Monitoring Activities</w:t>
      </w:r>
      <w:bookmarkEnd w:id="110"/>
      <w:bookmarkEnd w:id="111"/>
    </w:p>
    <w:p w14:paraId="03FBDC5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DAEL utilizes three types of monitoring activities throughout the grant cycle: desk monitoring, onsite reviews, and virtual reviews.</w:t>
      </w:r>
    </w:p>
    <w:p w14:paraId="7040893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Desk monitoring is geared toward a document or report-based review. This method of review requires States to submit documents identified in DAEL’s monitoring plan for review. The documents are assessed to determine the State’s progress in meeting performance standards and compliance with grant requirements. State interviews are conducted via videoconference, webinar, or teleconference to obtain additional information.</w:t>
      </w:r>
    </w:p>
    <w:p w14:paraId="76DDB34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Desk monitoring typically occurs in the first half of the federal fiscal year and is conducted on all AEFLA grantees. During this time, there are several items that States submit to DAEL. We use these items to review your performance and </w:t>
      </w:r>
      <w:r w:rsidRPr="00944CCC">
        <w:rPr>
          <w:rFonts w:ascii="Open Sans" w:hAnsi="Open Sans" w:cs="Open Sans"/>
          <w:lang w:eastAsia="ja-JP"/>
        </w:rPr>
        <w:lastRenderedPageBreak/>
        <w:t>compliance. There are also items considered to be “ongoing</w:t>
      </w:r>
      <w:r w:rsidRPr="00944CCC">
        <w:rPr>
          <w:rFonts w:ascii="Open Sans" w:hAnsi="Open Sans" w:cs="Open Sans"/>
          <w:i/>
          <w:iCs/>
          <w:lang w:eastAsia="ja-JP"/>
        </w:rPr>
        <w:t>”</w:t>
      </w:r>
      <w:r w:rsidRPr="00944CCC">
        <w:rPr>
          <w:rFonts w:ascii="Open Sans" w:hAnsi="Open Sans" w:cs="Open Sans"/>
          <w:lang w:eastAsia="ja-JP"/>
        </w:rPr>
        <w:t xml:space="preserve"> that are State-specific and may be incorporated in a monitoring review on an as needed basis.</w:t>
      </w:r>
    </w:p>
    <w:p w14:paraId="323303E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addition to desk monitoring, we also conduct monitoring reviews of selected States, which can be either onsite or virtual. The scope of these reviews can be either a full review or a targeted </w:t>
      </w:r>
      <w:proofErr w:type="gramStart"/>
      <w:r w:rsidRPr="00944CCC">
        <w:rPr>
          <w:rFonts w:ascii="Open Sans" w:hAnsi="Open Sans" w:cs="Open Sans"/>
          <w:lang w:eastAsia="ja-JP"/>
        </w:rPr>
        <w:t>review, and</w:t>
      </w:r>
      <w:proofErr w:type="gramEnd"/>
      <w:r w:rsidRPr="00944CCC">
        <w:rPr>
          <w:rFonts w:ascii="Open Sans" w:hAnsi="Open Sans" w:cs="Open Sans"/>
          <w:lang w:eastAsia="ja-JP"/>
        </w:rPr>
        <w:t xml:space="preserve"> are conducted either virtually or on-site in the State selected for a review. These reviews include pre-review and onsite document review, interviews with State staff, and other items that are dependent on the scope of the review and the modules used.</w:t>
      </w:r>
    </w:p>
    <w:p w14:paraId="6A29AAC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For full onsite reviews, we review all five of the modules in the monitoring protocol. Full onsite reviews are generally a </w:t>
      </w:r>
      <w:proofErr w:type="gramStart"/>
      <w:r w:rsidRPr="00944CCC">
        <w:rPr>
          <w:rFonts w:ascii="Open Sans" w:hAnsi="Open Sans" w:cs="Open Sans"/>
          <w:lang w:eastAsia="ja-JP"/>
        </w:rPr>
        <w:t>week long</w:t>
      </w:r>
      <w:proofErr w:type="gramEnd"/>
      <w:r w:rsidRPr="00944CCC">
        <w:rPr>
          <w:rFonts w:ascii="Open Sans" w:hAnsi="Open Sans" w:cs="Open Sans"/>
          <w:lang w:eastAsia="ja-JP"/>
        </w:rPr>
        <w:t xml:space="preserve"> and usually employ four program reviewers. Full onsite reviews address a State's AEFLA compliance in </w:t>
      </w:r>
      <w:proofErr w:type="gramStart"/>
      <w:r w:rsidRPr="00944CCC">
        <w:rPr>
          <w:rFonts w:ascii="Open Sans" w:hAnsi="Open Sans" w:cs="Open Sans"/>
          <w:lang w:eastAsia="ja-JP"/>
        </w:rPr>
        <w:t>all of</w:t>
      </w:r>
      <w:proofErr w:type="gramEnd"/>
      <w:r w:rsidRPr="00944CCC">
        <w:rPr>
          <w:rFonts w:ascii="Open Sans" w:hAnsi="Open Sans" w:cs="Open Sans"/>
          <w:lang w:eastAsia="ja-JP"/>
        </w:rPr>
        <w:t xml:space="preserve"> the modules, in addition to providing technical assistance.</w:t>
      </w:r>
    </w:p>
    <w:p w14:paraId="5B8989C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DAEL also uses, when appropriate, a targeted monitoring strategy, which has a more focused process on select areas. Targeted reviews are guided by selected modules. A targeted review is conducted over two to three days and generally employs two or three program reviewers. Targeted reviews may also be used to follow the progress of States that already have received a full review and are implementing a corrective action plan. Targeted reviews may be onsite or virtual.</w:t>
      </w:r>
    </w:p>
    <w:p w14:paraId="4677904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DAEL also conducts virtual reviews. These reviews are typically two to three days and involve two program reviewers. Virtual reviews address a State's AEFLA compliance in one to two of the selected modules, in addition to providing technical assistance.</w:t>
      </w:r>
    </w:p>
    <w:p w14:paraId="73E7C139" w14:textId="77777777" w:rsidR="00660262" w:rsidRPr="00944CCC" w:rsidRDefault="00660262" w:rsidP="00944CCC">
      <w:pPr>
        <w:pStyle w:val="Heading3"/>
      </w:pPr>
      <w:bookmarkStart w:id="112" w:name="_Toc163980031"/>
      <w:bookmarkStart w:id="113" w:name="_Toc171600503"/>
      <w:r w:rsidRPr="00944CCC">
        <w:t>Risk-based Monitoring</w:t>
      </w:r>
      <w:bookmarkEnd w:id="112"/>
      <w:bookmarkEnd w:id="113"/>
    </w:p>
    <w:p w14:paraId="1CEC8D1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Risk is also an important consideration in monitoring. Each year, DAEL completes a risk assessment on all AEFLA grantees, which helps us determine our monitoring plan for that year. We select certain States for AEFLA onsite and virtual reviews based on a combination of the risk factors, including time since the last onsite review, size of award, performance data, fiscal data, change in State director or agency, and audit information, among other factors. So, data analysis drives not only our ongoing desk monitoring activities but also informs DAEL's risk analysis.</w:t>
      </w:r>
    </w:p>
    <w:p w14:paraId="39ED55B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Much of the information available to DAEL about grantee risk comes from desk monitoring. Annually, DAEL staff will use this and other current risk data to identify States with evidence of elevated risk, and to plan mitigation strategies. Strategies are identified and tailored to the specific risks exhibited by each State grantee. Strategies may be adjusted throughout the year, if necessary, to reduce or eliminate grantee-specific performance, financial, or management challenges.</w:t>
      </w:r>
    </w:p>
    <w:p w14:paraId="60FD32D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The onsite and virtual reviews have three phases. Phase one is pre-review activities. Phase two is review activities. And phase three is post review activities.</w:t>
      </w:r>
    </w:p>
    <w:p w14:paraId="6C93CC7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pre-review phase is designed to prepare the State for the review, develop the agenda, and begin the document review process. Once DAEL has completed our risk assessment and established our annual monitoring plan, an area coordinator will email the State regarding the pending monitoring review. For onsite reviews, States are notified 90 days prior to the review. For virtual reviews, States are notified 45 days prior to the review. Area coordinators work with the States to finalize dates. Once that is completed, your agency head and State director will receive an email notification confirming the dates of the review and the composition of the team. The email will also include the DAEL monitoring protocol and monitoring review agenda template.</w:t>
      </w:r>
    </w:p>
    <w:p w14:paraId="7D17450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DAEL makes a concerted effort to try to understand AELFA implementation in the State before we begin a review. To do so, before the review, we have three conference calls with the State for an onsite review and one to two calls with the State for a virtual review. In preparation for the review, the area coordinator will work with the State to schedule dates for the Federal/State conference calls. The purpose of the calls is to introduce State staff to the federal monitoring team, review the monitoring process, and prepare States for organizing materials for the document review, as well as identify materials to be submitted to DAEL to assist the team in selecting local programs to visit, and discuss review logistics.</w:t>
      </w:r>
    </w:p>
    <w:p w14:paraId="00BFCAB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Additionally, for monitoring reviews that include module 1, which covers performance accountability, the area coordinator works with the State director to schedule a management information system, or MIS, demonstration, which may be done prior to the review or during the review.  Some items such as Federal Team work sessions occur behind the scenes. These federal teamwork sessions are held prior to each Federal/State conference call to assist in preparing for the calls.</w:t>
      </w:r>
    </w:p>
    <w:p w14:paraId="58D1096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For the onsite review, activities include an entrance conference with senior leaders in the State agency to clarify the purpose and process of the review. Onsite reviews include further document review and State staff interviews. The federal team also conducts several local program visits to verify information gathered at the State level.</w:t>
      </w:r>
    </w:p>
    <w:p w14:paraId="66637BD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It's important to note that we are visiting the local program to triangulate data and gain a fuller understanding of how the State is administering the AEFLA program. We are not </w:t>
      </w:r>
      <w:r w:rsidRPr="00944CCC">
        <w:rPr>
          <w:rFonts w:ascii="Open Sans" w:hAnsi="Open Sans" w:cs="Open Sans"/>
          <w:i/>
          <w:iCs/>
          <w:lang w:eastAsia="ja-JP"/>
        </w:rPr>
        <w:t>monitoring</w:t>
      </w:r>
      <w:r w:rsidRPr="00944CCC">
        <w:rPr>
          <w:rFonts w:ascii="Open Sans" w:hAnsi="Open Sans" w:cs="Open Sans"/>
          <w:lang w:eastAsia="ja-JP"/>
        </w:rPr>
        <w:t xml:space="preserve"> the local programs. The federal team also meets with focus groups, including one with the State's workforce partners as well as another with local program directors. The federal team meets with the State director and State </w:t>
      </w:r>
      <w:r w:rsidRPr="00944CCC">
        <w:rPr>
          <w:rFonts w:ascii="Open Sans" w:hAnsi="Open Sans" w:cs="Open Sans"/>
          <w:lang w:eastAsia="ja-JP"/>
        </w:rPr>
        <w:lastRenderedPageBreak/>
        <w:t>staff to review preliminary findings and recommendations prior to the formal exit meeting with senior leadership.</w:t>
      </w:r>
    </w:p>
    <w:p w14:paraId="11935D0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For the virtual review, activities include an entrance conference with the senior leaders in the State agency to clarify the purpose and process of the review. Each review includes further document review and State staff interviews. Depending on the focus of the review, there may be virtual local program visits. The federal team meets with the State director and State staff to review preliminary findings and recommendations prior to the formal exit meeting with senior leadership.</w:t>
      </w:r>
    </w:p>
    <w:p w14:paraId="5D64683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post review activities for the onsite and virtual reviews are the same. During the post review period, DAEL writes and issues the monitoring report, negotiates a corrective action plan, or CAP, with the State for all findings, monitors the CAP to completion, and closes the CAP.</w:t>
      </w:r>
    </w:p>
    <w:p w14:paraId="6FFE4F2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After the monitoring review, DAEL emails a monitoring report to the State within 90 calendar days of the review. The monitoring report may identify any noteworthy practices observed during the review. These are tools or processes that constitute an innovative approach to managing your program or that have yielded measurable improvements in program performance. DAEL also identifies any compliance findings. For each finding, DAEL notes the relevant section of the law and regulations and identifies the required action you must take to </w:t>
      </w:r>
      <w:proofErr w:type="gramStart"/>
      <w:r w:rsidRPr="00944CCC">
        <w:rPr>
          <w:rFonts w:ascii="Open Sans" w:hAnsi="Open Sans" w:cs="Open Sans"/>
          <w:lang w:eastAsia="ja-JP"/>
        </w:rPr>
        <w:t>be in compliance</w:t>
      </w:r>
      <w:proofErr w:type="gramEnd"/>
      <w:r w:rsidRPr="00944CCC">
        <w:rPr>
          <w:rFonts w:ascii="Open Sans" w:hAnsi="Open Sans" w:cs="Open Sans"/>
          <w:lang w:eastAsia="ja-JP"/>
        </w:rPr>
        <w:t>. The findings section of the report helps States ensure they are implementing their AEFLA program in compliance with statute and regulations.</w:t>
      </w:r>
    </w:p>
    <w:p w14:paraId="0A2EA6B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Finally, the report may identify recommendations for program improvement. These are not compliance-related items and, therefore are suggested actions.</w:t>
      </w:r>
    </w:p>
    <w:p w14:paraId="3ABD97F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Just because the review is finished, and you have received the report does not mean the process is over. If the State has any findings, your area coordinator will work with you on the development of the CAP. States must enter their proposed strategies, evidence, and dates into the corrective action plan in the monitoring module of the National Reporting System within 45 calendar days of receipt of the report, as dated on our electronic mailing to the State agency. </w:t>
      </w:r>
    </w:p>
    <w:p w14:paraId="167B930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CAP must include how the State plans to address the required actions for each finding. Responses to each required action must contain strategies, evidence of action completed, date of completion, assigned staff, and status of the action. Although States are not required to do so, we strongly encourage your State to include actions for recommendations contained in the report in the CAP.</w:t>
      </w:r>
    </w:p>
    <w:p w14:paraId="1DC46B81" w14:textId="77777777" w:rsidR="000C4C26" w:rsidRPr="00944CCC" w:rsidRDefault="00660262" w:rsidP="0056051A">
      <w:pPr>
        <w:rPr>
          <w:rFonts w:ascii="Open Sans" w:hAnsi="Open Sans" w:cs="Open Sans"/>
          <w:lang w:eastAsia="ja-JP"/>
        </w:rPr>
      </w:pPr>
      <w:r w:rsidRPr="00944CCC">
        <w:rPr>
          <w:rFonts w:ascii="Open Sans" w:hAnsi="Open Sans" w:cs="Open Sans"/>
          <w:lang w:eastAsia="ja-JP"/>
        </w:rPr>
        <w:t xml:space="preserve">Once you complete each required action, you will submit for review the evidence that demonstrates that it is complete. That evidence is received and reviewed by the area coordinator. The focus is not just correcting the instance one time but to </w:t>
      </w:r>
      <w:r w:rsidRPr="00944CCC">
        <w:rPr>
          <w:rFonts w:ascii="Open Sans" w:hAnsi="Open Sans" w:cs="Open Sans"/>
          <w:lang w:eastAsia="ja-JP"/>
        </w:rPr>
        <w:lastRenderedPageBreak/>
        <w:t xml:space="preserve">put in place a </w:t>
      </w:r>
      <w:proofErr w:type="gramStart"/>
      <w:r w:rsidRPr="00944CCC">
        <w:rPr>
          <w:rFonts w:ascii="Open Sans" w:hAnsi="Open Sans" w:cs="Open Sans"/>
          <w:lang w:eastAsia="ja-JP"/>
        </w:rPr>
        <w:t>process</w:t>
      </w:r>
      <w:proofErr w:type="gramEnd"/>
      <w:r w:rsidRPr="00944CCC">
        <w:rPr>
          <w:rFonts w:ascii="Open Sans" w:hAnsi="Open Sans" w:cs="Open Sans"/>
          <w:lang w:eastAsia="ja-JP"/>
        </w:rPr>
        <w:t xml:space="preserve"> so the same non-compliance item does not happen over and over. Once the evidence of completion is accepted, required actions are closed. DAEL officially closes the CAP by sending a letter to the State when the State has carried out a plan that satisfactorily addresses all the findings and required actions.</w:t>
      </w:r>
    </w:p>
    <w:p w14:paraId="135D064A" w14:textId="77777777" w:rsidR="000C4C26" w:rsidRPr="00944CCC" w:rsidRDefault="000C4C26" w:rsidP="0056051A">
      <w:pPr>
        <w:rPr>
          <w:rFonts w:ascii="Open Sans" w:hAnsi="Open Sans" w:cs="Open Sans"/>
          <w:lang w:eastAsia="ja-JP"/>
        </w:rPr>
      </w:pPr>
      <w:r w:rsidRPr="00944CCC">
        <w:rPr>
          <w:rFonts w:ascii="Open Sans" w:hAnsi="Open Sans" w:cs="Open Sans"/>
          <w:lang w:eastAsia="ja-JP"/>
        </w:rPr>
        <w:br w:type="page"/>
      </w:r>
    </w:p>
    <w:p w14:paraId="72C6F0DD" w14:textId="77777777" w:rsidR="00660262" w:rsidRPr="00944CCC" w:rsidRDefault="00660262" w:rsidP="00944CCC">
      <w:pPr>
        <w:pStyle w:val="Heading3"/>
      </w:pPr>
      <w:bookmarkStart w:id="114" w:name="_Toc163980032"/>
      <w:bookmarkStart w:id="115" w:name="_Toc171600504"/>
      <w:r w:rsidRPr="00944CCC">
        <w:lastRenderedPageBreak/>
        <w:t>Summary</w:t>
      </w:r>
      <w:bookmarkEnd w:id="114"/>
      <w:bookmarkEnd w:id="115"/>
    </w:p>
    <w:p w14:paraId="5513400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Ok, let’s review some of the key points we’ve covered on DAEL’s monitoring process.</w:t>
      </w:r>
    </w:p>
    <w:p w14:paraId="5E8C1C3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DAEL monitoring process has five modules that may be part of a review:</w:t>
      </w:r>
    </w:p>
    <w:p w14:paraId="402260DD" w14:textId="77777777" w:rsidR="00660262" w:rsidRPr="00944CCC" w:rsidRDefault="00660262" w:rsidP="0056051A">
      <w:pPr>
        <w:pStyle w:val="ListParagraph"/>
        <w:numPr>
          <w:ilvl w:val="0"/>
          <w:numId w:val="34"/>
        </w:numPr>
        <w:rPr>
          <w:rFonts w:ascii="Open Sans" w:hAnsi="Open Sans" w:cs="Open Sans"/>
          <w:lang w:eastAsia="ja-JP"/>
        </w:rPr>
      </w:pPr>
      <w:r w:rsidRPr="00944CCC">
        <w:rPr>
          <w:rFonts w:ascii="Open Sans" w:hAnsi="Open Sans" w:cs="Open Sans"/>
          <w:lang w:eastAsia="ja-JP"/>
        </w:rPr>
        <w:t>Performance accountability</w:t>
      </w:r>
    </w:p>
    <w:p w14:paraId="01EAC8B1" w14:textId="77777777" w:rsidR="00660262" w:rsidRPr="00944CCC" w:rsidRDefault="00660262" w:rsidP="0056051A">
      <w:pPr>
        <w:pStyle w:val="ListParagraph"/>
        <w:numPr>
          <w:ilvl w:val="0"/>
          <w:numId w:val="34"/>
        </w:numPr>
        <w:rPr>
          <w:rFonts w:ascii="Open Sans" w:hAnsi="Open Sans" w:cs="Open Sans"/>
          <w:lang w:eastAsia="ja-JP"/>
        </w:rPr>
      </w:pPr>
      <w:r w:rsidRPr="00944CCC">
        <w:rPr>
          <w:rFonts w:ascii="Open Sans" w:hAnsi="Open Sans" w:cs="Open Sans"/>
          <w:lang w:eastAsia="ja-JP"/>
        </w:rPr>
        <w:t>Fiscal</w:t>
      </w:r>
    </w:p>
    <w:p w14:paraId="2721EFF1" w14:textId="77777777" w:rsidR="00660262" w:rsidRPr="00944CCC" w:rsidRDefault="00660262" w:rsidP="0056051A">
      <w:pPr>
        <w:pStyle w:val="ListParagraph"/>
        <w:numPr>
          <w:ilvl w:val="0"/>
          <w:numId w:val="34"/>
        </w:numPr>
        <w:rPr>
          <w:rFonts w:ascii="Open Sans" w:hAnsi="Open Sans" w:cs="Open Sans"/>
          <w:lang w:eastAsia="ja-JP"/>
        </w:rPr>
      </w:pPr>
      <w:r w:rsidRPr="00944CCC">
        <w:rPr>
          <w:rFonts w:ascii="Open Sans" w:hAnsi="Open Sans" w:cs="Open Sans"/>
          <w:lang w:eastAsia="ja-JP"/>
        </w:rPr>
        <w:t>State leadership</w:t>
      </w:r>
    </w:p>
    <w:p w14:paraId="5BFEA886" w14:textId="77777777" w:rsidR="00660262" w:rsidRPr="00944CCC" w:rsidRDefault="00660262" w:rsidP="0056051A">
      <w:pPr>
        <w:pStyle w:val="ListParagraph"/>
        <w:numPr>
          <w:ilvl w:val="0"/>
          <w:numId w:val="34"/>
        </w:numPr>
        <w:rPr>
          <w:rFonts w:ascii="Open Sans" w:hAnsi="Open Sans" w:cs="Open Sans"/>
          <w:lang w:eastAsia="ja-JP"/>
        </w:rPr>
      </w:pPr>
      <w:r w:rsidRPr="00944CCC">
        <w:rPr>
          <w:rFonts w:ascii="Open Sans" w:hAnsi="Open Sans" w:cs="Open Sans"/>
          <w:lang w:eastAsia="ja-JP"/>
        </w:rPr>
        <w:t>Competition and monitoring of local providers, and</w:t>
      </w:r>
    </w:p>
    <w:p w14:paraId="53940175" w14:textId="77777777" w:rsidR="00660262" w:rsidRPr="00944CCC" w:rsidRDefault="00660262" w:rsidP="0056051A">
      <w:pPr>
        <w:pStyle w:val="ListParagraph"/>
        <w:numPr>
          <w:ilvl w:val="0"/>
          <w:numId w:val="34"/>
        </w:numPr>
        <w:rPr>
          <w:rFonts w:ascii="Open Sans" w:hAnsi="Open Sans" w:cs="Open Sans"/>
          <w:lang w:eastAsia="ja-JP"/>
        </w:rPr>
      </w:pPr>
      <w:r w:rsidRPr="00944CCC">
        <w:rPr>
          <w:rFonts w:ascii="Open Sans" w:hAnsi="Open Sans" w:cs="Open Sans"/>
          <w:lang w:eastAsia="ja-JP"/>
        </w:rPr>
        <w:t>WIOA shared monitoring</w:t>
      </w:r>
    </w:p>
    <w:p w14:paraId="7008CB1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DAEL may review </w:t>
      </w:r>
      <w:proofErr w:type="gramStart"/>
      <w:r w:rsidRPr="00944CCC">
        <w:rPr>
          <w:rFonts w:ascii="Open Sans" w:hAnsi="Open Sans" w:cs="Open Sans"/>
          <w:lang w:eastAsia="ja-JP"/>
        </w:rPr>
        <w:t>all of</w:t>
      </w:r>
      <w:proofErr w:type="gramEnd"/>
      <w:r w:rsidRPr="00944CCC">
        <w:rPr>
          <w:rFonts w:ascii="Open Sans" w:hAnsi="Open Sans" w:cs="Open Sans"/>
          <w:lang w:eastAsia="ja-JP"/>
        </w:rPr>
        <w:t xml:space="preserve"> these modules in a full, on-site review. Or some of these modules in a targeted or virtual review.</w:t>
      </w:r>
    </w:p>
    <w:p w14:paraId="1C64B05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There is also desk monitoring, which requires submission of documents and other materials to DAEL.</w:t>
      </w:r>
    </w:p>
    <w:p w14:paraId="5DCDB1E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DAEL uses a risk-based approach when deciding how to monitor programs.</w:t>
      </w:r>
    </w:p>
    <w:p w14:paraId="372DC806" w14:textId="77777777" w:rsidR="000C4C26" w:rsidRPr="00944CCC" w:rsidRDefault="00660262" w:rsidP="0056051A">
      <w:pPr>
        <w:rPr>
          <w:rFonts w:ascii="Open Sans" w:hAnsi="Open Sans" w:cs="Open Sans"/>
          <w:lang w:eastAsia="ja-JP"/>
        </w:rPr>
      </w:pPr>
      <w:r w:rsidRPr="00944CCC">
        <w:rPr>
          <w:rFonts w:ascii="Open Sans" w:hAnsi="Open Sans" w:cs="Open Sans"/>
          <w:lang w:eastAsia="ja-JP"/>
        </w:rPr>
        <w:t>Check out the playbook for links to some of the materials discussed in this video. And for other monitoring-related questions, please contact your area coordinator.</w:t>
      </w:r>
    </w:p>
    <w:p w14:paraId="725F6C5D" w14:textId="77777777" w:rsidR="000C4C26" w:rsidRPr="00944CCC" w:rsidRDefault="000C4C26" w:rsidP="0056051A">
      <w:pPr>
        <w:rPr>
          <w:rFonts w:ascii="Open Sans" w:hAnsi="Open Sans" w:cs="Open Sans"/>
          <w:lang w:eastAsia="ja-JP"/>
        </w:rPr>
      </w:pPr>
      <w:r w:rsidRPr="00944CCC">
        <w:rPr>
          <w:rFonts w:ascii="Open Sans" w:hAnsi="Open Sans" w:cs="Open Sans"/>
          <w:lang w:eastAsia="ja-JP"/>
        </w:rPr>
        <w:br w:type="page"/>
      </w:r>
    </w:p>
    <w:p w14:paraId="51CD11FD" w14:textId="77777777" w:rsidR="00660262" w:rsidRPr="00944CCC" w:rsidRDefault="00660262" w:rsidP="0056051A">
      <w:pPr>
        <w:pStyle w:val="Heading2"/>
        <w:rPr>
          <w:rFonts w:ascii="Open Sans" w:hAnsi="Open Sans" w:cs="Open Sans"/>
          <w:color w:val="032E53"/>
        </w:rPr>
      </w:pPr>
      <w:bookmarkStart w:id="116" w:name="_Overview_of_Monitoring"/>
      <w:bookmarkStart w:id="117" w:name="_Toc163980033"/>
      <w:bookmarkStart w:id="118" w:name="_Toc171600505"/>
      <w:bookmarkEnd w:id="116"/>
      <w:r w:rsidRPr="00944CCC">
        <w:rPr>
          <w:rFonts w:ascii="Open Sans" w:hAnsi="Open Sans" w:cs="Open Sans"/>
          <w:color w:val="032E53"/>
        </w:rPr>
        <w:lastRenderedPageBreak/>
        <w:t>Overview of Monitoring</w:t>
      </w:r>
      <w:bookmarkEnd w:id="117"/>
      <w:bookmarkEnd w:id="118"/>
    </w:p>
    <w:p w14:paraId="4337E77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this video, we’re going to </w:t>
      </w:r>
      <w:proofErr w:type="gramStart"/>
      <w:r w:rsidRPr="00944CCC">
        <w:rPr>
          <w:rFonts w:ascii="Open Sans" w:hAnsi="Open Sans" w:cs="Open Sans"/>
          <w:lang w:eastAsia="ja-JP"/>
        </w:rPr>
        <w:t>take a look</w:t>
      </w:r>
      <w:proofErr w:type="gramEnd"/>
      <w:r w:rsidRPr="00944CCC">
        <w:rPr>
          <w:rFonts w:ascii="Open Sans" w:hAnsi="Open Sans" w:cs="Open Sans"/>
          <w:lang w:eastAsia="ja-JP"/>
        </w:rPr>
        <w:t xml:space="preserve"> at monitoring the local AEFLA providers in your State. States may have </w:t>
      </w:r>
      <w:proofErr w:type="gramStart"/>
      <w:r w:rsidRPr="00944CCC">
        <w:rPr>
          <w:rFonts w:ascii="Open Sans" w:hAnsi="Open Sans" w:cs="Open Sans"/>
          <w:lang w:eastAsia="ja-JP"/>
        </w:rPr>
        <w:t>a number of</w:t>
      </w:r>
      <w:proofErr w:type="gramEnd"/>
      <w:r w:rsidRPr="00944CCC">
        <w:rPr>
          <w:rFonts w:ascii="Open Sans" w:hAnsi="Open Sans" w:cs="Open Sans"/>
          <w:lang w:eastAsia="ja-JP"/>
        </w:rPr>
        <w:t xml:space="preserve"> different types of local providers and since you are required to monitor these local programs in several different ways, we want to take you through some of the most important areas to look for. </w:t>
      </w:r>
    </w:p>
    <w:p w14:paraId="52B7577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By the end of this video, you will better be able to:</w:t>
      </w:r>
    </w:p>
    <w:p w14:paraId="5EA3092E" w14:textId="77777777" w:rsidR="00660262" w:rsidRPr="00944CCC" w:rsidRDefault="00660262" w:rsidP="0056051A">
      <w:pPr>
        <w:pStyle w:val="ListParagraph"/>
        <w:numPr>
          <w:ilvl w:val="0"/>
          <w:numId w:val="38"/>
        </w:numPr>
        <w:rPr>
          <w:rFonts w:ascii="Open Sans" w:hAnsi="Open Sans" w:cs="Open Sans"/>
          <w:lang w:eastAsia="ja-JP"/>
        </w:rPr>
      </w:pPr>
      <w:r w:rsidRPr="00944CCC">
        <w:rPr>
          <w:rFonts w:ascii="Open Sans" w:hAnsi="Open Sans" w:cs="Open Sans"/>
          <w:lang w:eastAsia="ja-JP"/>
        </w:rPr>
        <w:t>Understand monitoring requirements found in the law and the regulations</w:t>
      </w:r>
    </w:p>
    <w:p w14:paraId="2FA41635" w14:textId="77777777" w:rsidR="00660262" w:rsidRPr="00944CCC" w:rsidRDefault="00660262" w:rsidP="0056051A">
      <w:pPr>
        <w:pStyle w:val="ListParagraph"/>
        <w:numPr>
          <w:ilvl w:val="0"/>
          <w:numId w:val="38"/>
        </w:numPr>
        <w:rPr>
          <w:rFonts w:ascii="Open Sans" w:hAnsi="Open Sans" w:cs="Open Sans"/>
          <w:lang w:eastAsia="ja-JP"/>
        </w:rPr>
      </w:pPr>
      <w:r w:rsidRPr="00944CCC">
        <w:rPr>
          <w:rFonts w:ascii="Open Sans" w:hAnsi="Open Sans" w:cs="Open Sans"/>
          <w:lang w:eastAsia="ja-JP"/>
        </w:rPr>
        <w:t>Identify the areas to monitor to meet those requirements</w:t>
      </w:r>
    </w:p>
    <w:p w14:paraId="44F4C9B1" w14:textId="77777777" w:rsidR="00660262" w:rsidRPr="00944CCC" w:rsidRDefault="00660262" w:rsidP="0056051A">
      <w:pPr>
        <w:pStyle w:val="ListParagraph"/>
        <w:numPr>
          <w:ilvl w:val="0"/>
          <w:numId w:val="38"/>
        </w:numPr>
        <w:rPr>
          <w:rFonts w:ascii="Open Sans" w:hAnsi="Open Sans" w:cs="Open Sans"/>
          <w:lang w:eastAsia="ja-JP"/>
        </w:rPr>
      </w:pPr>
      <w:r w:rsidRPr="00944CCC">
        <w:rPr>
          <w:rFonts w:ascii="Open Sans" w:hAnsi="Open Sans" w:cs="Open Sans"/>
          <w:lang w:eastAsia="ja-JP"/>
        </w:rPr>
        <w:t>Consider some different ways to monitor</w:t>
      </w:r>
    </w:p>
    <w:p w14:paraId="7DEA6E5A" w14:textId="77777777" w:rsidR="00660262" w:rsidRPr="00944CCC" w:rsidRDefault="00660262" w:rsidP="0056051A">
      <w:pPr>
        <w:pStyle w:val="ListParagraph"/>
        <w:numPr>
          <w:ilvl w:val="0"/>
          <w:numId w:val="38"/>
        </w:numPr>
        <w:rPr>
          <w:rFonts w:ascii="Open Sans" w:hAnsi="Open Sans" w:cs="Open Sans"/>
          <w:lang w:eastAsia="ja-JP"/>
        </w:rPr>
      </w:pPr>
      <w:r w:rsidRPr="00944CCC">
        <w:rPr>
          <w:rFonts w:ascii="Open Sans" w:hAnsi="Open Sans" w:cs="Open Sans"/>
          <w:lang w:eastAsia="ja-JP"/>
        </w:rPr>
        <w:t>Learn about some tools to use, and</w:t>
      </w:r>
    </w:p>
    <w:p w14:paraId="259877D8" w14:textId="77777777" w:rsidR="00660262" w:rsidRPr="00944CCC" w:rsidRDefault="00660262" w:rsidP="0056051A">
      <w:pPr>
        <w:pStyle w:val="ListParagraph"/>
        <w:numPr>
          <w:ilvl w:val="0"/>
          <w:numId w:val="38"/>
        </w:numPr>
        <w:rPr>
          <w:rFonts w:ascii="Open Sans" w:hAnsi="Open Sans" w:cs="Open Sans"/>
          <w:lang w:eastAsia="ja-JP"/>
        </w:rPr>
      </w:pPr>
      <w:r w:rsidRPr="00944CCC">
        <w:rPr>
          <w:rFonts w:ascii="Open Sans" w:hAnsi="Open Sans" w:cs="Open Sans"/>
          <w:lang w:eastAsia="ja-JP"/>
        </w:rPr>
        <w:t>Know where to seek help, get answers to any questions, and find additional resources that States may need.</w:t>
      </w:r>
    </w:p>
    <w:p w14:paraId="653A6AC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what we cover in this video, you can find more helpful resources in the Playbook.</w:t>
      </w:r>
    </w:p>
    <w:p w14:paraId="0D1EBE1E" w14:textId="77777777" w:rsidR="00660262" w:rsidRPr="00944CCC" w:rsidRDefault="00660262" w:rsidP="00944CCC">
      <w:pPr>
        <w:pStyle w:val="Heading3"/>
      </w:pPr>
      <w:bookmarkStart w:id="119" w:name="_Toc163980034"/>
      <w:bookmarkStart w:id="120" w:name="_Toc171600506"/>
      <w:r w:rsidRPr="00944CCC">
        <w:t>What Is Monitoring?</w:t>
      </w:r>
      <w:bookmarkEnd w:id="119"/>
      <w:bookmarkEnd w:id="120"/>
    </w:p>
    <w:p w14:paraId="6F70415D" w14:textId="77777777" w:rsidR="00660262" w:rsidRPr="00944CCC" w:rsidRDefault="00660262" w:rsidP="0056051A">
      <w:pPr>
        <w:rPr>
          <w:rFonts w:ascii="Open Sans" w:hAnsi="Open Sans" w:cs="Open Sans"/>
          <w:strike/>
          <w:lang w:eastAsia="ja-JP"/>
        </w:rPr>
      </w:pPr>
      <w:r w:rsidRPr="00944CCC">
        <w:rPr>
          <w:rFonts w:ascii="Open Sans" w:hAnsi="Open Sans" w:cs="Open Sans"/>
          <w:lang w:eastAsia="ja-JP"/>
        </w:rPr>
        <w:t xml:space="preserve">Ok, so what is monitoring? </w:t>
      </w:r>
    </w:p>
    <w:p w14:paraId="40887D0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Most importantly, monitoring is a process that is required by law and regulation. States monitor to gather all the types of information about a program that is required for compliance and performance. </w:t>
      </w:r>
    </w:p>
    <w:p w14:paraId="4F31534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Monitoring is also an opportunity for States to gauge how well your policies are working, gather data about instructional practices, analyze performance data, understand how adult education impacts the workforce population in your State, and know where to provide technical assistance. </w:t>
      </w:r>
      <w:proofErr w:type="gramStart"/>
      <w:r w:rsidRPr="00944CCC">
        <w:rPr>
          <w:rFonts w:ascii="Open Sans" w:hAnsi="Open Sans" w:cs="Open Sans"/>
          <w:lang w:eastAsia="ja-JP"/>
        </w:rPr>
        <w:t>So</w:t>
      </w:r>
      <w:proofErr w:type="gramEnd"/>
      <w:r w:rsidRPr="00944CCC">
        <w:rPr>
          <w:rFonts w:ascii="Open Sans" w:hAnsi="Open Sans" w:cs="Open Sans"/>
          <w:lang w:eastAsia="ja-JP"/>
        </w:rPr>
        <w:t xml:space="preserve"> there are many advantages to monitoring!</w:t>
      </w:r>
    </w:p>
    <w:p w14:paraId="3254AD8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What’s more, monitoring isn't just about visiting the program on site – States should also conduct desktop and virtual monitoring reviews to ensure subrecipient compliance and to conduct technical assistance. Desktop and virtual monitoring also help with allocating resources to conduct monitoring.</w:t>
      </w:r>
    </w:p>
    <w:p w14:paraId="7592BD21" w14:textId="77777777" w:rsidR="00660262" w:rsidRPr="00944CCC" w:rsidRDefault="00660262" w:rsidP="00944CCC">
      <w:pPr>
        <w:pStyle w:val="Heading3"/>
      </w:pPr>
      <w:bookmarkStart w:id="121" w:name="_Toc163980035"/>
      <w:bookmarkStart w:id="122" w:name="_Toc171600507"/>
      <w:r w:rsidRPr="00944CCC">
        <w:t>Where to Find Monitoring Requirements</w:t>
      </w:r>
      <w:bookmarkEnd w:id="121"/>
      <w:bookmarkEnd w:id="122"/>
    </w:p>
    <w:p w14:paraId="196EA310" w14:textId="77777777" w:rsidR="00660262" w:rsidRPr="00944CCC" w:rsidRDefault="00660262" w:rsidP="0056051A">
      <w:pPr>
        <w:rPr>
          <w:rFonts w:ascii="Open Sans" w:hAnsi="Open Sans" w:cs="Open Sans"/>
        </w:rPr>
      </w:pPr>
      <w:r w:rsidRPr="00944CCC">
        <w:rPr>
          <w:rFonts w:ascii="Open Sans" w:hAnsi="Open Sans" w:cs="Open Sans"/>
        </w:rPr>
        <w:t xml:space="preserve">Let’s look at where you can find federal requirements for monitoring WIOA title II local providers.  </w:t>
      </w:r>
    </w:p>
    <w:p w14:paraId="44724AE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Monitoring requirements can be found in the program statute, program regulations, the Uniform Administrative Requirements, Cost Principles, and Audit Requirements for Federal Awards, also known as the Uniform Guidance, and the </w:t>
      </w:r>
      <w:r w:rsidRPr="00944CCC">
        <w:rPr>
          <w:rFonts w:ascii="Open Sans" w:hAnsi="Open Sans" w:cs="Open Sans"/>
          <w:lang w:eastAsia="ja-JP"/>
        </w:rPr>
        <w:lastRenderedPageBreak/>
        <w:t>Education Department General Administrative Regulations, also known as EDGAR. As a recipient of federal funds, you are obligated to ensure that the funds are used in allowable, reasonable, and necessary ways. This includes monitoring local providers to ensure they use the Adult Education and Family Literacy Act or AEFLA funds in ways that are allowable, reasonable, and necessary under the statute. In other words, the same threshold at the State level applies to the local level as well.</w:t>
      </w:r>
    </w:p>
    <w:p w14:paraId="6FB001DD" w14:textId="77777777" w:rsidR="00660262" w:rsidRPr="00944CCC" w:rsidRDefault="00660262" w:rsidP="00944CCC">
      <w:pPr>
        <w:pStyle w:val="Heading3"/>
      </w:pPr>
      <w:bookmarkStart w:id="123" w:name="_Toc163980036"/>
      <w:bookmarkStart w:id="124" w:name="_Toc171600508"/>
      <w:r w:rsidRPr="00944CCC">
        <w:t>Monitoring FAQs</w:t>
      </w:r>
      <w:bookmarkEnd w:id="123"/>
      <w:bookmarkEnd w:id="124"/>
    </w:p>
    <w:p w14:paraId="4E4470D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Let’s look at some monitoring-related questions that frequently come up and where you can start looking to find the answers.</w:t>
      </w:r>
    </w:p>
    <w:p w14:paraId="32AA0E8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If you need to determine whether your local providers are carrying out allowable activities, you can find a list of allowable activities that AEFLA funds can be spent on in WIOA section 203(2). These allowable activities are as follows:</w:t>
      </w:r>
    </w:p>
    <w:p w14:paraId="40FBEE6A" w14:textId="77777777" w:rsidR="00660262" w:rsidRPr="00944CCC" w:rsidRDefault="00660262" w:rsidP="0056051A">
      <w:pPr>
        <w:pStyle w:val="ListParagraph"/>
        <w:numPr>
          <w:ilvl w:val="0"/>
          <w:numId w:val="36"/>
        </w:numPr>
        <w:rPr>
          <w:rFonts w:ascii="Open Sans" w:hAnsi="Open Sans" w:cs="Open Sans"/>
          <w:lang w:eastAsia="ja-JP"/>
        </w:rPr>
      </w:pPr>
      <w:r w:rsidRPr="00944CCC">
        <w:rPr>
          <w:rFonts w:ascii="Open Sans" w:hAnsi="Open Sans" w:cs="Open Sans"/>
          <w:lang w:eastAsia="ja-JP"/>
        </w:rPr>
        <w:t>Programs, activities, and services that include adult education</w:t>
      </w:r>
    </w:p>
    <w:p w14:paraId="1BF63A24" w14:textId="77777777" w:rsidR="00660262" w:rsidRPr="00944CCC" w:rsidRDefault="00660262" w:rsidP="0056051A">
      <w:pPr>
        <w:pStyle w:val="ListParagraph"/>
        <w:numPr>
          <w:ilvl w:val="0"/>
          <w:numId w:val="36"/>
        </w:numPr>
        <w:rPr>
          <w:rFonts w:ascii="Open Sans" w:hAnsi="Open Sans" w:cs="Open Sans"/>
          <w:lang w:eastAsia="ja-JP"/>
        </w:rPr>
      </w:pPr>
      <w:r w:rsidRPr="00944CCC">
        <w:rPr>
          <w:rFonts w:ascii="Open Sans" w:hAnsi="Open Sans" w:cs="Open Sans"/>
          <w:lang w:eastAsia="ja-JP"/>
        </w:rPr>
        <w:t>Literacy</w:t>
      </w:r>
    </w:p>
    <w:p w14:paraId="5021448E" w14:textId="77777777" w:rsidR="00660262" w:rsidRPr="00944CCC" w:rsidRDefault="00660262" w:rsidP="0056051A">
      <w:pPr>
        <w:pStyle w:val="ListParagraph"/>
        <w:numPr>
          <w:ilvl w:val="0"/>
          <w:numId w:val="36"/>
        </w:numPr>
        <w:rPr>
          <w:rFonts w:ascii="Open Sans" w:hAnsi="Open Sans" w:cs="Open Sans"/>
          <w:lang w:eastAsia="ja-JP"/>
        </w:rPr>
      </w:pPr>
      <w:r w:rsidRPr="00944CCC">
        <w:rPr>
          <w:rFonts w:ascii="Open Sans" w:hAnsi="Open Sans" w:cs="Open Sans"/>
          <w:lang w:eastAsia="ja-JP"/>
        </w:rPr>
        <w:t>Workplace adult education and literacy activities</w:t>
      </w:r>
    </w:p>
    <w:p w14:paraId="274FCE62" w14:textId="77777777" w:rsidR="00660262" w:rsidRPr="00944CCC" w:rsidRDefault="00660262" w:rsidP="0056051A">
      <w:pPr>
        <w:pStyle w:val="ListParagraph"/>
        <w:numPr>
          <w:ilvl w:val="0"/>
          <w:numId w:val="36"/>
        </w:numPr>
        <w:rPr>
          <w:rFonts w:ascii="Open Sans" w:hAnsi="Open Sans" w:cs="Open Sans"/>
          <w:lang w:eastAsia="ja-JP"/>
        </w:rPr>
      </w:pPr>
      <w:r w:rsidRPr="00944CCC">
        <w:rPr>
          <w:rFonts w:ascii="Open Sans" w:hAnsi="Open Sans" w:cs="Open Sans"/>
          <w:lang w:eastAsia="ja-JP"/>
        </w:rPr>
        <w:t>Family literacy activities</w:t>
      </w:r>
    </w:p>
    <w:p w14:paraId="3BAD546D" w14:textId="77777777" w:rsidR="00660262" w:rsidRPr="00944CCC" w:rsidRDefault="00660262" w:rsidP="0056051A">
      <w:pPr>
        <w:pStyle w:val="ListParagraph"/>
        <w:numPr>
          <w:ilvl w:val="0"/>
          <w:numId w:val="36"/>
        </w:numPr>
        <w:rPr>
          <w:rFonts w:ascii="Open Sans" w:hAnsi="Open Sans" w:cs="Open Sans"/>
          <w:lang w:eastAsia="ja-JP"/>
        </w:rPr>
      </w:pPr>
      <w:r w:rsidRPr="00944CCC">
        <w:rPr>
          <w:rFonts w:ascii="Open Sans" w:hAnsi="Open Sans" w:cs="Open Sans"/>
          <w:lang w:eastAsia="ja-JP"/>
        </w:rPr>
        <w:t>English language acquisition activities</w:t>
      </w:r>
    </w:p>
    <w:p w14:paraId="038CB6BD" w14:textId="77777777" w:rsidR="00660262" w:rsidRPr="00944CCC" w:rsidRDefault="00660262" w:rsidP="0056051A">
      <w:pPr>
        <w:pStyle w:val="ListParagraph"/>
        <w:numPr>
          <w:ilvl w:val="0"/>
          <w:numId w:val="36"/>
        </w:numPr>
        <w:rPr>
          <w:rFonts w:ascii="Open Sans" w:hAnsi="Open Sans" w:cs="Open Sans"/>
          <w:lang w:eastAsia="ja-JP"/>
        </w:rPr>
      </w:pPr>
      <w:r w:rsidRPr="00944CCC">
        <w:rPr>
          <w:rFonts w:ascii="Open Sans" w:hAnsi="Open Sans" w:cs="Open Sans"/>
          <w:lang w:eastAsia="ja-JP"/>
        </w:rPr>
        <w:t>Integrated English literacy and civics education</w:t>
      </w:r>
    </w:p>
    <w:p w14:paraId="484B1BAB" w14:textId="77777777" w:rsidR="00660262" w:rsidRPr="00944CCC" w:rsidRDefault="00660262" w:rsidP="0056051A">
      <w:pPr>
        <w:pStyle w:val="ListParagraph"/>
        <w:numPr>
          <w:ilvl w:val="0"/>
          <w:numId w:val="36"/>
        </w:numPr>
        <w:rPr>
          <w:rFonts w:ascii="Open Sans" w:hAnsi="Open Sans" w:cs="Open Sans"/>
          <w:lang w:eastAsia="ja-JP"/>
        </w:rPr>
      </w:pPr>
      <w:r w:rsidRPr="00944CCC">
        <w:rPr>
          <w:rFonts w:ascii="Open Sans" w:hAnsi="Open Sans" w:cs="Open Sans"/>
          <w:lang w:eastAsia="ja-JP"/>
        </w:rPr>
        <w:t>Workforce preparation activities, and</w:t>
      </w:r>
    </w:p>
    <w:p w14:paraId="04715301" w14:textId="77777777" w:rsidR="00660262" w:rsidRPr="00944CCC" w:rsidRDefault="00660262" w:rsidP="0056051A">
      <w:pPr>
        <w:pStyle w:val="ListParagraph"/>
        <w:numPr>
          <w:ilvl w:val="0"/>
          <w:numId w:val="36"/>
        </w:numPr>
        <w:rPr>
          <w:rFonts w:ascii="Open Sans" w:hAnsi="Open Sans" w:cs="Open Sans"/>
          <w:lang w:eastAsia="ja-JP"/>
        </w:rPr>
      </w:pPr>
      <w:r w:rsidRPr="00944CCC">
        <w:rPr>
          <w:rFonts w:ascii="Open Sans" w:hAnsi="Open Sans" w:cs="Open Sans"/>
          <w:lang w:eastAsia="ja-JP"/>
        </w:rPr>
        <w:t>Integrated education and training</w:t>
      </w:r>
    </w:p>
    <w:p w14:paraId="0A8A05B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If you’re wondering whether your local providers are serving eligible adults, the WIOA statute contains the eligibility requirements.</w:t>
      </w:r>
    </w:p>
    <w:p w14:paraId="6C09E15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WIOA section 203(4) you can find the definition of the term “eligible individual”, as it relates to r AEFLA. An eligible individual is defined as someone who is at least 16 years of age, is not enrolled or required to be enrolled in secondary school under State law, and who is either basic skills deficient, does not have a secondary school diploma or its recognized equivalent and has not achieved an equivalent level of education, or is an English language learner.</w:t>
      </w:r>
    </w:p>
    <w:p w14:paraId="5217D39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You might be wondering how the State is required to fund eligible providers.</w:t>
      </w:r>
    </w:p>
    <w:p w14:paraId="771C952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WIOA section 231(a) requires that each eligible agency, in a State or outlying area, award multiyear grants or contracts on a competitive basis, to eligible providers within the State or outlying area to enable providers to develop, implement, and improve adult education and literacy activities within the State. In WIOA section 232, the requirement that an eligible provider shall </w:t>
      </w:r>
      <w:bookmarkStart w:id="125" w:name="_Int_gaNRbfui"/>
      <w:proofErr w:type="gramStart"/>
      <w:r w:rsidRPr="00944CCC">
        <w:rPr>
          <w:rFonts w:ascii="Open Sans" w:hAnsi="Open Sans" w:cs="Open Sans"/>
          <w:lang w:eastAsia="ja-JP"/>
        </w:rPr>
        <w:t>submit an application</w:t>
      </w:r>
      <w:bookmarkEnd w:id="125"/>
      <w:proofErr w:type="gramEnd"/>
      <w:r w:rsidRPr="00944CCC">
        <w:rPr>
          <w:rFonts w:ascii="Open Sans" w:hAnsi="Open Sans" w:cs="Open Sans"/>
          <w:lang w:eastAsia="ja-JP"/>
        </w:rPr>
        <w:t xml:space="preserve"> to the </w:t>
      </w:r>
      <w:r w:rsidRPr="00944CCC">
        <w:rPr>
          <w:rFonts w:ascii="Open Sans" w:hAnsi="Open Sans" w:cs="Open Sans"/>
          <w:lang w:eastAsia="ja-JP"/>
        </w:rPr>
        <w:lastRenderedPageBreak/>
        <w:t>State is detailed. In this application, information can be utilized to inform monitoring practices.</w:t>
      </w:r>
    </w:p>
    <w:p w14:paraId="1E91EDF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Another common question is how to determine whether local providers are meeting performance levels?</w:t>
      </w:r>
    </w:p>
    <w:p w14:paraId="5F6270E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WIOA section 232(4) describes how the eligible provider will meet the State adjusted levels of performance, including how they're going to collect the data to report on the performance indicators. Additionally, WIOA section 116(d)(5) requires States to establish procedures to ensure that all information contained in performance reports is valid and reliable.</w:t>
      </w:r>
    </w:p>
    <w:p w14:paraId="5E91F76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Finally, you’ll want to be sure designated local providers are fulfilling their one stop partner roles and responsibilities.</w:t>
      </w:r>
    </w:p>
    <w:p w14:paraId="20CE029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WIOA section 121 (b)(1)(A) requires that each provider must provide access through the one-stop system, including making career services available at the one-stop system and using a portion of the funds available for the program and services to maintain the one-stop system, including infrastructure costs. Agreed upon infrastructure costs must be paid by a local program from local administrative funds. WIOA requires a provider who has been delegated the one-stop roles and responsibilities for AEFLA to enter into a local Memorandum of Understanding or MOU with the local board which covers the operation of the one-stop, to participate in the operation of the one-stop system that's consistent with the terms of the MOU, and then finally, if applicable, to provide representation on the State board as it's described in WIOA section 101.</w:t>
      </w:r>
    </w:p>
    <w:p w14:paraId="1A4532B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States should keep these questions and answers in mind while monitoring local programs. Next, we will review a few monitoring requirements found in the Uniform Guidance.</w:t>
      </w:r>
    </w:p>
    <w:p w14:paraId="6BB77F9A" w14:textId="77777777" w:rsidR="00660262" w:rsidRPr="00944CCC" w:rsidRDefault="00660262" w:rsidP="00944CCC">
      <w:pPr>
        <w:pStyle w:val="Heading3"/>
        <w:rPr>
          <w:color w:val="000000"/>
          <w:sz w:val="32"/>
          <w:szCs w:val="32"/>
        </w:rPr>
      </w:pPr>
      <w:bookmarkStart w:id="126" w:name="_Toc163980037"/>
      <w:bookmarkStart w:id="127" w:name="_Toc171600509"/>
      <w:r w:rsidRPr="00944CCC">
        <w:t>Monitoring Requirements in the Uniform Guidance</w:t>
      </w:r>
      <w:bookmarkEnd w:id="126"/>
      <w:bookmarkEnd w:id="127"/>
    </w:p>
    <w:p w14:paraId="79A73113" w14:textId="77777777" w:rsidR="00660262" w:rsidRPr="00944CCC" w:rsidRDefault="00660262" w:rsidP="0056051A">
      <w:pPr>
        <w:rPr>
          <w:rFonts w:ascii="Open Sans" w:hAnsi="Open Sans" w:cs="Open Sans"/>
          <w:lang w:eastAsia="ja-JP"/>
        </w:rPr>
      </w:pPr>
      <w:proofErr w:type="gramStart"/>
      <w:r w:rsidRPr="00944CCC">
        <w:rPr>
          <w:rFonts w:ascii="Open Sans" w:hAnsi="Open Sans" w:cs="Open Sans"/>
          <w:lang w:eastAsia="ja-JP"/>
        </w:rPr>
        <w:t>A number of</w:t>
      </w:r>
      <w:proofErr w:type="gramEnd"/>
      <w:r w:rsidRPr="00944CCC">
        <w:rPr>
          <w:rFonts w:ascii="Open Sans" w:hAnsi="Open Sans" w:cs="Open Sans"/>
          <w:lang w:eastAsia="ja-JP"/>
        </w:rPr>
        <w:t xml:space="preserve"> the federal requirements regarding monitoring can be found in the Uniform Guidance. The Uniform Guidance, located in title 2 of the Code of Federal Regulations, known as the CFR, part 200, is where grants administration regulations from the various agencies were combined into a single set of regulations. When you unpack 2 CFR section 200 point 332, you'll see that it contains the requirements for pass-through entities. The pass-through entity is the State agency that administers the AEFLA program in a State. This could be a State Education Agency, a Community College System, a Department of Labor, or Workforce Development Agency. The Uniform Guidance contains all the steps States must take to comply with federal regulations when you monitor local providers. It also provides a list of items that must be included by the State on the local’s grant award notification documents. </w:t>
      </w:r>
    </w:p>
    <w:p w14:paraId="1E12A91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2 CFR section 200.332 States that all pass-through entities must ensure that all subrecipients use the federal award in accordance with federal statutes, regulations, and all terms and conditions of the award. It also lays out eight steps that are required which are:</w:t>
      </w:r>
    </w:p>
    <w:p w14:paraId="4CEE2662" w14:textId="77777777" w:rsidR="00660262" w:rsidRPr="00944CCC" w:rsidRDefault="00660262" w:rsidP="0056051A">
      <w:pPr>
        <w:pStyle w:val="ListParagraph"/>
        <w:numPr>
          <w:ilvl w:val="0"/>
          <w:numId w:val="37"/>
        </w:numPr>
        <w:rPr>
          <w:rFonts w:ascii="Open Sans" w:hAnsi="Open Sans" w:cs="Open Sans"/>
          <w:lang w:eastAsia="ja-JP"/>
        </w:rPr>
      </w:pPr>
      <w:r w:rsidRPr="00944CCC">
        <w:rPr>
          <w:rFonts w:ascii="Open Sans" w:hAnsi="Open Sans" w:cs="Open Sans"/>
          <w:lang w:eastAsia="ja-JP"/>
        </w:rPr>
        <w:t xml:space="preserve">Identify your award elements. </w:t>
      </w:r>
    </w:p>
    <w:p w14:paraId="67435291" w14:textId="77777777" w:rsidR="00660262" w:rsidRPr="00944CCC" w:rsidRDefault="00660262" w:rsidP="0056051A">
      <w:pPr>
        <w:pStyle w:val="ListParagraph"/>
        <w:numPr>
          <w:ilvl w:val="0"/>
          <w:numId w:val="37"/>
        </w:numPr>
        <w:rPr>
          <w:rFonts w:ascii="Open Sans" w:hAnsi="Open Sans" w:cs="Open Sans"/>
          <w:lang w:eastAsia="ja-JP"/>
        </w:rPr>
      </w:pPr>
      <w:r w:rsidRPr="00944CCC">
        <w:rPr>
          <w:rFonts w:ascii="Open Sans" w:hAnsi="Open Sans" w:cs="Open Sans"/>
          <w:lang w:eastAsia="ja-JP"/>
        </w:rPr>
        <w:t xml:space="preserve">Evaluate subrecipients’ risk of noncompliance. </w:t>
      </w:r>
    </w:p>
    <w:p w14:paraId="1CC38422" w14:textId="77777777" w:rsidR="00660262" w:rsidRPr="00944CCC" w:rsidRDefault="00660262" w:rsidP="0056051A">
      <w:pPr>
        <w:pStyle w:val="ListParagraph"/>
        <w:numPr>
          <w:ilvl w:val="0"/>
          <w:numId w:val="37"/>
        </w:numPr>
        <w:rPr>
          <w:rFonts w:ascii="Open Sans" w:hAnsi="Open Sans" w:cs="Open Sans"/>
          <w:lang w:eastAsia="ja-JP"/>
        </w:rPr>
      </w:pPr>
      <w:r w:rsidRPr="00944CCC">
        <w:rPr>
          <w:rFonts w:ascii="Open Sans" w:hAnsi="Open Sans" w:cs="Open Sans"/>
          <w:lang w:eastAsia="ja-JP"/>
        </w:rPr>
        <w:t xml:space="preserve">Impose specific subaward conditions, if needed. </w:t>
      </w:r>
    </w:p>
    <w:p w14:paraId="13B0BEB5" w14:textId="77777777" w:rsidR="00660262" w:rsidRPr="00944CCC" w:rsidRDefault="00660262" w:rsidP="0056051A">
      <w:pPr>
        <w:pStyle w:val="ListParagraph"/>
        <w:numPr>
          <w:ilvl w:val="0"/>
          <w:numId w:val="37"/>
        </w:numPr>
        <w:rPr>
          <w:rFonts w:ascii="Open Sans" w:hAnsi="Open Sans" w:cs="Open Sans"/>
          <w:lang w:eastAsia="ja-JP"/>
        </w:rPr>
      </w:pPr>
      <w:r w:rsidRPr="00944CCC">
        <w:rPr>
          <w:rFonts w:ascii="Open Sans" w:hAnsi="Open Sans" w:cs="Open Sans"/>
          <w:lang w:eastAsia="ja-JP"/>
        </w:rPr>
        <w:t>Monitor the award.</w:t>
      </w:r>
    </w:p>
    <w:p w14:paraId="7E90DBA0" w14:textId="77777777" w:rsidR="00660262" w:rsidRPr="00944CCC" w:rsidRDefault="00660262" w:rsidP="0056051A">
      <w:pPr>
        <w:pStyle w:val="ListParagraph"/>
        <w:numPr>
          <w:ilvl w:val="0"/>
          <w:numId w:val="37"/>
        </w:numPr>
        <w:rPr>
          <w:rFonts w:ascii="Open Sans" w:hAnsi="Open Sans" w:cs="Open Sans"/>
          <w:lang w:eastAsia="ja-JP"/>
        </w:rPr>
      </w:pPr>
      <w:r w:rsidRPr="00944CCC">
        <w:rPr>
          <w:rFonts w:ascii="Open Sans" w:hAnsi="Open Sans" w:cs="Open Sans"/>
          <w:lang w:eastAsia="ja-JP"/>
        </w:rPr>
        <w:t xml:space="preserve">Provide technical assistance. </w:t>
      </w:r>
    </w:p>
    <w:p w14:paraId="164679F8" w14:textId="77777777" w:rsidR="00660262" w:rsidRPr="00944CCC" w:rsidRDefault="00660262" w:rsidP="0056051A">
      <w:pPr>
        <w:pStyle w:val="ListParagraph"/>
        <w:numPr>
          <w:ilvl w:val="0"/>
          <w:numId w:val="37"/>
        </w:numPr>
        <w:rPr>
          <w:rFonts w:ascii="Open Sans" w:hAnsi="Open Sans" w:cs="Open Sans"/>
          <w:lang w:eastAsia="ja-JP"/>
        </w:rPr>
      </w:pPr>
      <w:r w:rsidRPr="00944CCC">
        <w:rPr>
          <w:rFonts w:ascii="Open Sans" w:hAnsi="Open Sans" w:cs="Open Sans"/>
          <w:lang w:eastAsia="ja-JP"/>
        </w:rPr>
        <w:t>Verify every subrecipient is audited as required.</w:t>
      </w:r>
    </w:p>
    <w:p w14:paraId="28C1E7DA" w14:textId="77777777" w:rsidR="00660262" w:rsidRPr="00944CCC" w:rsidRDefault="00660262" w:rsidP="0056051A">
      <w:pPr>
        <w:pStyle w:val="ListParagraph"/>
        <w:numPr>
          <w:ilvl w:val="0"/>
          <w:numId w:val="37"/>
        </w:numPr>
        <w:rPr>
          <w:rFonts w:ascii="Open Sans" w:hAnsi="Open Sans" w:cs="Open Sans"/>
          <w:lang w:eastAsia="ja-JP"/>
        </w:rPr>
      </w:pPr>
      <w:r w:rsidRPr="00944CCC">
        <w:rPr>
          <w:rFonts w:ascii="Open Sans" w:hAnsi="Open Sans" w:cs="Open Sans"/>
          <w:lang w:eastAsia="ja-JP"/>
        </w:rPr>
        <w:t>Modify the process when needed. And finally,</w:t>
      </w:r>
    </w:p>
    <w:p w14:paraId="31E857FC" w14:textId="77777777" w:rsidR="00660262" w:rsidRPr="00944CCC" w:rsidRDefault="00660262" w:rsidP="0056051A">
      <w:pPr>
        <w:pStyle w:val="ListParagraph"/>
        <w:numPr>
          <w:ilvl w:val="0"/>
          <w:numId w:val="37"/>
        </w:numPr>
        <w:rPr>
          <w:rFonts w:ascii="Open Sans" w:hAnsi="Open Sans" w:cs="Open Sans"/>
          <w:lang w:eastAsia="ja-JP"/>
        </w:rPr>
      </w:pPr>
      <w:proofErr w:type="gramStart"/>
      <w:r w:rsidRPr="00944CCC">
        <w:rPr>
          <w:rFonts w:ascii="Open Sans" w:hAnsi="Open Sans" w:cs="Open Sans"/>
          <w:lang w:eastAsia="ja-JP"/>
        </w:rPr>
        <w:t>Take action</w:t>
      </w:r>
      <w:proofErr w:type="gramEnd"/>
      <w:r w:rsidRPr="00944CCC">
        <w:rPr>
          <w:rFonts w:ascii="Open Sans" w:hAnsi="Open Sans" w:cs="Open Sans"/>
          <w:lang w:eastAsia="ja-JP"/>
        </w:rPr>
        <w:t xml:space="preserve"> on any non-compliance.</w:t>
      </w:r>
    </w:p>
    <w:p w14:paraId="3984247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At this point you may want to jot down any questions that you have about the eight steps.  In your agency, who is your grants specialist? Do you meet regularly with them? After finishing this video, you may want to take time to research the answers to these questions or to contact your Division of Adult Education and Literacy or DAEL Area Coordinator for clarification.</w:t>
      </w:r>
    </w:p>
    <w:p w14:paraId="1D77620A" w14:textId="77777777" w:rsidR="00660262" w:rsidRPr="00944CCC" w:rsidRDefault="00660262" w:rsidP="00944CCC">
      <w:pPr>
        <w:pStyle w:val="Heading3"/>
      </w:pPr>
      <w:bookmarkStart w:id="128" w:name="_Toc163980038"/>
      <w:bookmarkStart w:id="129" w:name="_Toc171600510"/>
      <w:r w:rsidRPr="00944CCC">
        <w:t>Summary</w:t>
      </w:r>
      <w:bookmarkEnd w:id="128"/>
      <w:bookmarkEnd w:id="129"/>
    </w:p>
    <w:p w14:paraId="07F8E2B1" w14:textId="77777777" w:rsidR="00660262" w:rsidRPr="00944CCC" w:rsidRDefault="00660262" w:rsidP="0056051A">
      <w:pPr>
        <w:rPr>
          <w:rFonts w:ascii="Open Sans" w:hAnsi="Open Sans" w:cs="Open Sans"/>
          <w:lang w:eastAsia="ja-JP"/>
        </w:rPr>
      </w:pPr>
      <w:r w:rsidRPr="00944CCC">
        <w:rPr>
          <w:rFonts w:ascii="Open Sans" w:hAnsi="Open Sans" w:cs="Open Sans"/>
          <w:color w:val="auto"/>
          <w:lang w:eastAsia="ja-JP"/>
        </w:rPr>
        <w:t xml:space="preserve">Through monitoring, States </w:t>
      </w:r>
      <w:r w:rsidRPr="00944CCC">
        <w:rPr>
          <w:rFonts w:ascii="Open Sans" w:hAnsi="Open Sans" w:cs="Open Sans"/>
          <w:lang w:eastAsia="ja-JP"/>
        </w:rPr>
        <w:t>can identify subrecipient activities and practices that are not compliant with law and regulations, as well as areas that require technical assistance for improved program implementation and performance.</w:t>
      </w:r>
    </w:p>
    <w:p w14:paraId="721D579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As a recipient of federal funds, you are obligated to ensure that the funds are used in allowable, reasonable, and necessary ways, and monitoring is an effective tool for this purpose. </w:t>
      </w:r>
    </w:p>
    <w:p w14:paraId="6AB6645E" w14:textId="77777777" w:rsidR="0070713E" w:rsidRPr="00944CCC" w:rsidRDefault="00660262" w:rsidP="0056051A">
      <w:pPr>
        <w:rPr>
          <w:rFonts w:ascii="Open Sans" w:hAnsi="Open Sans" w:cs="Open Sans"/>
          <w:lang w:eastAsia="ja-JP"/>
        </w:rPr>
      </w:pPr>
      <w:r w:rsidRPr="00944CCC">
        <w:rPr>
          <w:rFonts w:ascii="Open Sans" w:hAnsi="Open Sans" w:cs="Open Sans"/>
          <w:lang w:eastAsia="ja-JP"/>
        </w:rPr>
        <w:t>In the Playbook you can find helpful links and resources and you can learn more about how to monitor your program to ensure compliance and to improve processes. Finally, be sure to check out the other videos in this series on monitoring local providers.</w:t>
      </w:r>
    </w:p>
    <w:p w14:paraId="7235579E" w14:textId="77777777" w:rsidR="0070713E" w:rsidRPr="00944CCC" w:rsidRDefault="0070713E" w:rsidP="0056051A">
      <w:pPr>
        <w:rPr>
          <w:rFonts w:ascii="Open Sans" w:hAnsi="Open Sans" w:cs="Open Sans"/>
          <w:lang w:eastAsia="ja-JP"/>
        </w:rPr>
      </w:pPr>
      <w:r w:rsidRPr="00944CCC">
        <w:rPr>
          <w:rFonts w:ascii="Open Sans" w:hAnsi="Open Sans" w:cs="Open Sans"/>
          <w:lang w:eastAsia="ja-JP"/>
        </w:rPr>
        <w:br w:type="page"/>
      </w:r>
    </w:p>
    <w:p w14:paraId="036F30B4" w14:textId="77777777" w:rsidR="00660262" w:rsidRPr="00944CCC" w:rsidRDefault="00660262" w:rsidP="0056051A">
      <w:pPr>
        <w:pStyle w:val="Heading2"/>
        <w:rPr>
          <w:rFonts w:ascii="Open Sans" w:hAnsi="Open Sans" w:cs="Open Sans"/>
          <w:color w:val="032E53"/>
        </w:rPr>
      </w:pPr>
      <w:bookmarkStart w:id="130" w:name="_Statutory_and_Regulatory"/>
      <w:bookmarkStart w:id="131" w:name="_Toc163980039"/>
      <w:bookmarkStart w:id="132" w:name="_Toc171600511"/>
      <w:bookmarkEnd w:id="130"/>
      <w:r w:rsidRPr="00944CCC">
        <w:rPr>
          <w:rFonts w:ascii="Open Sans" w:hAnsi="Open Sans" w:cs="Open Sans"/>
          <w:color w:val="032E53"/>
        </w:rPr>
        <w:lastRenderedPageBreak/>
        <w:t>Statutory and Regulatory Monitoring Requirements</w:t>
      </w:r>
      <w:bookmarkEnd w:id="131"/>
      <w:bookmarkEnd w:id="132"/>
    </w:p>
    <w:p w14:paraId="5BAC16D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this video, we’ll be looking at some important statutory and regulatory monitoring requirements. As a reminder, this video is part of a series on monitoring local providers, and after viewing the videos in this series you will be able to:</w:t>
      </w:r>
    </w:p>
    <w:p w14:paraId="73F64CAA" w14:textId="77777777" w:rsidR="00660262" w:rsidRPr="00944CCC" w:rsidRDefault="00660262" w:rsidP="0056051A">
      <w:pPr>
        <w:pStyle w:val="ListParagraph"/>
        <w:numPr>
          <w:ilvl w:val="0"/>
          <w:numId w:val="40"/>
        </w:numPr>
        <w:rPr>
          <w:rFonts w:ascii="Open Sans" w:hAnsi="Open Sans" w:cs="Open Sans"/>
          <w:lang w:eastAsia="ja-JP"/>
        </w:rPr>
      </w:pPr>
      <w:r w:rsidRPr="00944CCC">
        <w:rPr>
          <w:rFonts w:ascii="Open Sans" w:hAnsi="Open Sans" w:cs="Open Sans"/>
          <w:lang w:eastAsia="ja-JP"/>
        </w:rPr>
        <w:t>Understand monitoring requirements found in the law and the regulations</w:t>
      </w:r>
    </w:p>
    <w:p w14:paraId="4AE805ED" w14:textId="77777777" w:rsidR="00660262" w:rsidRPr="00944CCC" w:rsidRDefault="00660262" w:rsidP="0056051A">
      <w:pPr>
        <w:pStyle w:val="ListParagraph"/>
        <w:numPr>
          <w:ilvl w:val="0"/>
          <w:numId w:val="40"/>
        </w:numPr>
        <w:rPr>
          <w:rFonts w:ascii="Open Sans" w:hAnsi="Open Sans" w:cs="Open Sans"/>
          <w:lang w:eastAsia="ja-JP"/>
        </w:rPr>
      </w:pPr>
      <w:r w:rsidRPr="00944CCC">
        <w:rPr>
          <w:rFonts w:ascii="Open Sans" w:hAnsi="Open Sans" w:cs="Open Sans"/>
          <w:lang w:eastAsia="ja-JP"/>
        </w:rPr>
        <w:t>Identify the areas to monitor to meet those requirements</w:t>
      </w:r>
    </w:p>
    <w:p w14:paraId="42382BCA" w14:textId="77777777" w:rsidR="00660262" w:rsidRPr="00944CCC" w:rsidRDefault="00660262" w:rsidP="0056051A">
      <w:pPr>
        <w:pStyle w:val="ListParagraph"/>
        <w:numPr>
          <w:ilvl w:val="0"/>
          <w:numId w:val="40"/>
        </w:numPr>
        <w:rPr>
          <w:rFonts w:ascii="Open Sans" w:hAnsi="Open Sans" w:cs="Open Sans"/>
          <w:lang w:eastAsia="ja-JP"/>
        </w:rPr>
      </w:pPr>
      <w:r w:rsidRPr="00944CCC">
        <w:rPr>
          <w:rFonts w:ascii="Open Sans" w:hAnsi="Open Sans" w:cs="Open Sans"/>
          <w:lang w:eastAsia="ja-JP"/>
        </w:rPr>
        <w:t>Consider some different ways to monitor</w:t>
      </w:r>
    </w:p>
    <w:p w14:paraId="7FF4C44A" w14:textId="77777777" w:rsidR="00660262" w:rsidRPr="00944CCC" w:rsidRDefault="00660262" w:rsidP="0056051A">
      <w:pPr>
        <w:pStyle w:val="ListParagraph"/>
        <w:numPr>
          <w:ilvl w:val="0"/>
          <w:numId w:val="40"/>
        </w:numPr>
        <w:rPr>
          <w:rFonts w:ascii="Open Sans" w:hAnsi="Open Sans" w:cs="Open Sans"/>
          <w:lang w:eastAsia="ja-JP"/>
        </w:rPr>
      </w:pPr>
      <w:r w:rsidRPr="00944CCC">
        <w:rPr>
          <w:rFonts w:ascii="Open Sans" w:hAnsi="Open Sans" w:cs="Open Sans"/>
          <w:lang w:eastAsia="ja-JP"/>
        </w:rPr>
        <w:t>Learn about some tools to use, and</w:t>
      </w:r>
    </w:p>
    <w:p w14:paraId="6C1B37E7" w14:textId="77777777" w:rsidR="00660262" w:rsidRPr="00944CCC" w:rsidRDefault="00660262" w:rsidP="0056051A">
      <w:pPr>
        <w:pStyle w:val="ListParagraph"/>
        <w:numPr>
          <w:ilvl w:val="0"/>
          <w:numId w:val="40"/>
        </w:numPr>
        <w:rPr>
          <w:rFonts w:ascii="Open Sans" w:hAnsi="Open Sans" w:cs="Open Sans"/>
          <w:lang w:eastAsia="ja-JP"/>
        </w:rPr>
      </w:pPr>
      <w:r w:rsidRPr="00944CCC">
        <w:rPr>
          <w:rFonts w:ascii="Open Sans" w:hAnsi="Open Sans" w:cs="Open Sans"/>
          <w:lang w:eastAsia="ja-JP"/>
        </w:rPr>
        <w:t>Know where to seek help, get answers to any questions, and find additional resources that States may need</w:t>
      </w:r>
    </w:p>
    <w:p w14:paraId="6B3C7DD8" w14:textId="77777777" w:rsidR="00660262" w:rsidRPr="00944CCC" w:rsidRDefault="00660262" w:rsidP="00944CCC">
      <w:pPr>
        <w:pStyle w:val="Heading3"/>
      </w:pPr>
      <w:bookmarkStart w:id="133" w:name="_heading=h.91ejwklno9ab"/>
      <w:bookmarkStart w:id="134" w:name="_Toc163980040"/>
      <w:bookmarkStart w:id="135" w:name="_Toc171600512"/>
      <w:bookmarkEnd w:id="133"/>
      <w:r w:rsidRPr="00944CCC">
        <w:t>Why You Need to Monitor</w:t>
      </w:r>
      <w:bookmarkEnd w:id="134"/>
      <w:bookmarkEnd w:id="135"/>
    </w:p>
    <w:p w14:paraId="0AB4BB1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There are two main reasons why statutory and regulatory monitoring requirements are important:</w:t>
      </w:r>
    </w:p>
    <w:p w14:paraId="5279F8F5" w14:textId="77777777" w:rsidR="00660262" w:rsidRPr="00944CCC" w:rsidRDefault="00660262" w:rsidP="0056051A">
      <w:pPr>
        <w:pStyle w:val="ListParagraph"/>
        <w:numPr>
          <w:ilvl w:val="0"/>
          <w:numId w:val="46"/>
        </w:numPr>
        <w:rPr>
          <w:rFonts w:ascii="Open Sans" w:hAnsi="Open Sans" w:cs="Open Sans"/>
          <w:lang w:eastAsia="ja-JP"/>
        </w:rPr>
      </w:pPr>
      <w:r w:rsidRPr="00944CCC">
        <w:rPr>
          <w:rFonts w:ascii="Open Sans" w:hAnsi="Open Sans" w:cs="Open Sans"/>
          <w:lang w:eastAsia="ja-JP"/>
        </w:rPr>
        <w:t xml:space="preserve">The Workforce Innovation and Opportunity Act, also known as WIOA, Public Law 113–128, is the law under which the Adult Education and Family Literacy </w:t>
      </w:r>
      <w:r w:rsidRPr="00944CCC" w:rsidDel="00433451">
        <w:rPr>
          <w:rFonts w:ascii="Open Sans" w:hAnsi="Open Sans" w:cs="Open Sans"/>
          <w:lang w:eastAsia="ja-JP"/>
        </w:rPr>
        <w:t>Act</w:t>
      </w:r>
      <w:r w:rsidRPr="00944CCC">
        <w:rPr>
          <w:rFonts w:ascii="Open Sans" w:hAnsi="Open Sans" w:cs="Open Sans"/>
          <w:lang w:eastAsia="ja-JP"/>
        </w:rPr>
        <w:t xml:space="preserve">, also known as </w:t>
      </w:r>
      <w:r w:rsidRPr="00944CCC" w:rsidDel="00433451">
        <w:rPr>
          <w:rFonts w:ascii="Open Sans" w:hAnsi="Open Sans" w:cs="Open Sans"/>
          <w:lang w:eastAsia="ja-JP"/>
        </w:rPr>
        <w:t>AEF</w:t>
      </w:r>
      <w:r w:rsidRPr="00944CCC">
        <w:rPr>
          <w:rFonts w:ascii="Open Sans" w:hAnsi="Open Sans" w:cs="Open Sans"/>
          <w:lang w:eastAsia="ja-JP"/>
        </w:rPr>
        <w:t>LA, is authorized and it contains monitoring requirements. </w:t>
      </w:r>
    </w:p>
    <w:p w14:paraId="2C50B129" w14:textId="77777777" w:rsidR="00660262" w:rsidRPr="00944CCC" w:rsidRDefault="00660262" w:rsidP="0056051A">
      <w:pPr>
        <w:pStyle w:val="ListParagraph"/>
        <w:numPr>
          <w:ilvl w:val="0"/>
          <w:numId w:val="46"/>
        </w:numPr>
        <w:rPr>
          <w:rFonts w:ascii="Open Sans" w:hAnsi="Open Sans" w:cs="Open Sans"/>
          <w:lang w:eastAsia="ja-JP"/>
        </w:rPr>
      </w:pPr>
      <w:r w:rsidRPr="00944CCC">
        <w:rPr>
          <w:rFonts w:ascii="Open Sans" w:hAnsi="Open Sans" w:cs="Open Sans"/>
          <w:lang w:eastAsia="ja-JP"/>
        </w:rPr>
        <w:t>The Department of Education is tasked with implementing a program law and AEFLA-specific regulations, which require monitoring in accordance with federal regulations founds in several parts of the Code of Federal Regulations. </w:t>
      </w:r>
    </w:p>
    <w:p w14:paraId="2EA949C9" w14:textId="77777777" w:rsidR="00660262" w:rsidRPr="00944CCC" w:rsidRDefault="00660262" w:rsidP="00944CCC">
      <w:pPr>
        <w:pStyle w:val="Heading3"/>
      </w:pPr>
      <w:bookmarkStart w:id="136" w:name="_Toc163980041"/>
      <w:bookmarkStart w:id="137" w:name="_Toc171600513"/>
      <w:r w:rsidRPr="00944CCC">
        <w:t>Statutory Requirements for Monitoring</w:t>
      </w:r>
      <w:bookmarkEnd w:id="136"/>
      <w:bookmarkEnd w:id="137"/>
    </w:p>
    <w:p w14:paraId="2F80805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Here is a breakdown of each of the of citations to show how they all work together.</w:t>
      </w:r>
    </w:p>
    <w:p w14:paraId="6FC80E5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Let’s start at the beginning with the WIOA title II statute. The following WIOA sections are key sections that inform a State’s monitoring practices.</w:t>
      </w:r>
    </w:p>
    <w:p w14:paraId="68DA70FF" w14:textId="77777777" w:rsidR="00660262" w:rsidRPr="00944CCC" w:rsidRDefault="00660262" w:rsidP="0056051A">
      <w:pPr>
        <w:pStyle w:val="ListParagraph"/>
        <w:numPr>
          <w:ilvl w:val="0"/>
          <w:numId w:val="44"/>
        </w:numPr>
        <w:rPr>
          <w:rFonts w:ascii="Open Sans" w:hAnsi="Open Sans" w:cs="Open Sans"/>
          <w:lang w:eastAsia="ja-JP"/>
        </w:rPr>
      </w:pPr>
      <w:r w:rsidRPr="00944CCC">
        <w:rPr>
          <w:rFonts w:ascii="Open Sans" w:hAnsi="Open Sans" w:cs="Open Sans"/>
          <w:lang w:eastAsia="ja-JP"/>
        </w:rPr>
        <w:t xml:space="preserve">WIOA section 203 defines the allowable activities in the AEFLA program.  These are the allowable activities under the law that your federal adult education dollars can be used for, and it’s important to know what is allowable so that you can make sure that your local providers are spending the federal funds on allowable activities. </w:t>
      </w:r>
    </w:p>
    <w:p w14:paraId="1F2DE7BE" w14:textId="77777777" w:rsidR="00660262" w:rsidRPr="00944CCC" w:rsidRDefault="00660262" w:rsidP="0056051A">
      <w:pPr>
        <w:pStyle w:val="ListParagraph"/>
        <w:numPr>
          <w:ilvl w:val="0"/>
          <w:numId w:val="44"/>
        </w:numPr>
        <w:rPr>
          <w:rFonts w:ascii="Open Sans" w:hAnsi="Open Sans" w:cs="Open Sans"/>
          <w:lang w:eastAsia="ja-JP"/>
        </w:rPr>
      </w:pPr>
      <w:r w:rsidRPr="00944CCC">
        <w:rPr>
          <w:rFonts w:ascii="Open Sans" w:hAnsi="Open Sans" w:cs="Open Sans"/>
          <w:lang w:eastAsia="ja-JP"/>
        </w:rPr>
        <w:t xml:space="preserve">WIOA section 221(1) is State administration. This specifically requires monitoring of all components of the State plan. </w:t>
      </w:r>
    </w:p>
    <w:p w14:paraId="3F20163A" w14:textId="77777777" w:rsidR="00660262" w:rsidRPr="00944CCC" w:rsidRDefault="00660262" w:rsidP="0056051A">
      <w:pPr>
        <w:pStyle w:val="ListParagraph"/>
        <w:numPr>
          <w:ilvl w:val="0"/>
          <w:numId w:val="44"/>
        </w:numPr>
        <w:rPr>
          <w:rFonts w:ascii="Open Sans" w:hAnsi="Open Sans" w:cs="Open Sans"/>
          <w:lang w:eastAsia="ja-JP"/>
        </w:rPr>
      </w:pPr>
      <w:r w:rsidRPr="00944CCC">
        <w:rPr>
          <w:rFonts w:ascii="Open Sans" w:hAnsi="Open Sans" w:cs="Open Sans"/>
          <w:lang w:eastAsia="ja-JP"/>
        </w:rPr>
        <w:t xml:space="preserve">Section 223(D) is State leadership. This includes monitoring as a required State leadership activity and this section of statute requires States to </w:t>
      </w:r>
      <w:r w:rsidRPr="00944CCC">
        <w:rPr>
          <w:rFonts w:ascii="Open Sans" w:hAnsi="Open Sans" w:cs="Open Sans"/>
          <w:lang w:eastAsia="ja-JP"/>
        </w:rPr>
        <w:lastRenderedPageBreak/>
        <w:t>monitor, evaluate, and improve the quality of adult education and literacy activities, among other requirements.</w:t>
      </w:r>
    </w:p>
    <w:p w14:paraId="4D017D5F" w14:textId="77777777" w:rsidR="00660262" w:rsidRPr="00944CCC" w:rsidRDefault="00660262" w:rsidP="0056051A">
      <w:pPr>
        <w:pStyle w:val="ListParagraph"/>
        <w:numPr>
          <w:ilvl w:val="0"/>
          <w:numId w:val="44"/>
        </w:numPr>
        <w:rPr>
          <w:rFonts w:ascii="Open Sans" w:hAnsi="Open Sans" w:cs="Open Sans"/>
          <w:lang w:eastAsia="ja-JP"/>
        </w:rPr>
      </w:pPr>
      <w:r w:rsidRPr="00944CCC">
        <w:rPr>
          <w:rFonts w:ascii="Open Sans" w:hAnsi="Open Sans" w:cs="Open Sans"/>
          <w:lang w:eastAsia="ja-JP"/>
        </w:rPr>
        <w:t xml:space="preserve">Sections 231 through 233 </w:t>
      </w:r>
      <w:proofErr w:type="gramStart"/>
      <w:r w:rsidRPr="00944CCC">
        <w:rPr>
          <w:rFonts w:ascii="Open Sans" w:hAnsi="Open Sans" w:cs="Open Sans"/>
          <w:lang w:eastAsia="ja-JP"/>
        </w:rPr>
        <w:t>are located in</w:t>
      </w:r>
      <w:proofErr w:type="gramEnd"/>
      <w:r w:rsidRPr="00944CCC">
        <w:rPr>
          <w:rFonts w:ascii="Open Sans" w:hAnsi="Open Sans" w:cs="Open Sans"/>
          <w:lang w:eastAsia="ja-JP"/>
        </w:rPr>
        <w:t xml:space="preserve"> Subtitle C Local Provisions of the statute. These sections State that funds shall not be used for the purpose of supporting or providing programs, services, or activities for individuals who have not attained 16 years of age and not enrolled or required to be enrolled in school, except for programs, services, or activities that are related to family literacy services. </w:t>
      </w:r>
    </w:p>
    <w:p w14:paraId="4D33783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It also States that all funds must be spent in accordance with title II requirements, which means that it's the State's responsibility to ensure that adult education funds are spent on serving eligible students with allowable activities, and the way that you're really going to know this is through monitoring your local providers. </w:t>
      </w:r>
    </w:p>
    <w:p w14:paraId="4A985DA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We’ve included a link to AEFLA in the Playbook for more information.</w:t>
      </w:r>
    </w:p>
    <w:p w14:paraId="524DB0ED" w14:textId="77777777" w:rsidR="00660262" w:rsidRPr="00944CCC" w:rsidRDefault="00660262" w:rsidP="00944CCC">
      <w:pPr>
        <w:pStyle w:val="Heading3"/>
      </w:pPr>
      <w:bookmarkStart w:id="138" w:name="_Toc163980042"/>
      <w:bookmarkStart w:id="139" w:name="_Toc171600514"/>
      <w:r w:rsidRPr="00944CCC">
        <w:t>Regulatory Requirements for Monitoring</w:t>
      </w:r>
      <w:bookmarkEnd w:id="138"/>
      <w:bookmarkEnd w:id="139"/>
    </w:p>
    <w:p w14:paraId="0989451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the WIOA sections we just went through, it’s also important to note that the federal agency tasked with implementing a program law, the Department of Education in this case, may create regulations. These regulations provide additional explanatory information for implementing program requirements.  The following regulations are used in the implementation of WIOA, including AEFLA, and specifically contain monitoring requirements.</w:t>
      </w:r>
    </w:p>
    <w:p w14:paraId="722C911E" w14:textId="77777777" w:rsidR="00660262" w:rsidRPr="00944CCC" w:rsidRDefault="00660262" w:rsidP="0056051A">
      <w:pPr>
        <w:pStyle w:val="ListParagraph"/>
        <w:numPr>
          <w:ilvl w:val="0"/>
          <w:numId w:val="44"/>
        </w:numPr>
        <w:rPr>
          <w:rFonts w:ascii="Open Sans" w:hAnsi="Open Sans" w:cs="Open Sans"/>
          <w:lang w:eastAsia="ja-JP"/>
        </w:rPr>
      </w:pPr>
      <w:r w:rsidRPr="00944CCC">
        <w:rPr>
          <w:rFonts w:ascii="Open Sans" w:hAnsi="Open Sans" w:cs="Open Sans"/>
          <w:lang w:eastAsia="ja-JP"/>
        </w:rPr>
        <w:t>34 CFR part 462 establishes the procedures States and local eligible providers must follow when measuring educational gain for use in the National Reporting System, or NRS.</w:t>
      </w:r>
    </w:p>
    <w:p w14:paraId="32C81F37" w14:textId="77777777" w:rsidR="00660262" w:rsidRPr="00944CCC" w:rsidRDefault="00660262" w:rsidP="0056051A">
      <w:pPr>
        <w:pStyle w:val="ListParagraph"/>
        <w:numPr>
          <w:ilvl w:val="0"/>
          <w:numId w:val="44"/>
        </w:numPr>
        <w:rPr>
          <w:rFonts w:ascii="Open Sans" w:hAnsi="Open Sans" w:cs="Open Sans"/>
          <w:lang w:eastAsia="ja-JP"/>
        </w:rPr>
      </w:pPr>
      <w:r w:rsidRPr="00944CCC">
        <w:rPr>
          <w:rFonts w:ascii="Open Sans" w:hAnsi="Open Sans" w:cs="Open Sans"/>
          <w:lang w:eastAsia="ja-JP"/>
        </w:rPr>
        <w:t>34 CFR part 463, contains regulations for WIOA title II</w:t>
      </w:r>
    </w:p>
    <w:p w14:paraId="42624970" w14:textId="77777777" w:rsidR="00660262" w:rsidRPr="00944CCC" w:rsidRDefault="00660262" w:rsidP="0056051A">
      <w:pPr>
        <w:pStyle w:val="ListParagraph"/>
        <w:numPr>
          <w:ilvl w:val="1"/>
          <w:numId w:val="44"/>
        </w:numPr>
        <w:rPr>
          <w:rFonts w:ascii="Open Sans" w:hAnsi="Open Sans" w:cs="Open Sans"/>
          <w:lang w:eastAsia="ja-JP"/>
        </w:rPr>
      </w:pPr>
      <w:r w:rsidRPr="00944CCC">
        <w:rPr>
          <w:rFonts w:ascii="Open Sans" w:hAnsi="Open Sans" w:cs="Open Sans"/>
          <w:lang w:eastAsia="ja-JP"/>
        </w:rPr>
        <w:t>Sub-parts D and G further explain adult education and literacy activities as well as Integrated English Literacy and Civics Education, or IELCE, activities. The information in these subparts is quite helpful when monitoring your local programs.</w:t>
      </w:r>
    </w:p>
    <w:p w14:paraId="4FA819F7" w14:textId="77777777" w:rsidR="0070713E" w:rsidRPr="00944CCC" w:rsidRDefault="00660262" w:rsidP="0056051A">
      <w:pPr>
        <w:rPr>
          <w:rFonts w:ascii="Open Sans" w:hAnsi="Open Sans" w:cs="Open Sans"/>
          <w:lang w:eastAsia="ja-JP"/>
        </w:rPr>
      </w:pPr>
      <w:r w:rsidRPr="00944CCC">
        <w:rPr>
          <w:rFonts w:ascii="Open Sans" w:hAnsi="Open Sans" w:cs="Open Sans"/>
          <w:lang w:eastAsia="ja-JP"/>
        </w:rPr>
        <w:t>There are also regulations you should know about that define requirements and parameters for monitoring to ensure that AEFLA funds are not being used to serve populations that it was not intended to serve or in ways that are not defined in the law.</w:t>
      </w:r>
    </w:p>
    <w:p w14:paraId="7EF8EF1F" w14:textId="77777777" w:rsidR="0070713E" w:rsidRPr="00944CCC" w:rsidRDefault="0070713E" w:rsidP="0056051A">
      <w:pPr>
        <w:rPr>
          <w:rFonts w:ascii="Open Sans" w:hAnsi="Open Sans" w:cs="Open Sans"/>
          <w:lang w:eastAsia="ja-JP"/>
        </w:rPr>
      </w:pPr>
      <w:r w:rsidRPr="00944CCC">
        <w:rPr>
          <w:rFonts w:ascii="Open Sans" w:hAnsi="Open Sans" w:cs="Open Sans"/>
          <w:lang w:eastAsia="ja-JP"/>
        </w:rPr>
        <w:br w:type="page"/>
      </w:r>
    </w:p>
    <w:p w14:paraId="2EFA62A9" w14:textId="77777777" w:rsidR="00660262" w:rsidRPr="00944CCC" w:rsidRDefault="00660262" w:rsidP="00944CCC">
      <w:pPr>
        <w:pStyle w:val="Heading3"/>
      </w:pPr>
      <w:bookmarkStart w:id="140" w:name="_Toc1925713228"/>
      <w:bookmarkStart w:id="141" w:name="_Toc122621608"/>
      <w:bookmarkStart w:id="142" w:name="_Toc163980043"/>
      <w:bookmarkStart w:id="143" w:name="_Toc171600515"/>
      <w:r w:rsidRPr="00944CCC">
        <w:lastRenderedPageBreak/>
        <w:t>Guidance for Monitoring</w:t>
      </w:r>
      <w:bookmarkEnd w:id="140"/>
      <w:bookmarkEnd w:id="141"/>
      <w:bookmarkEnd w:id="142"/>
      <w:bookmarkEnd w:id="143"/>
    </w:p>
    <w:p w14:paraId="56A7C48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Here are some Uniform Guidance citations for monitoring, which are federal government-wide regulations for grants management.</w:t>
      </w:r>
    </w:p>
    <w:p w14:paraId="7D2B9F1F" w14:textId="77777777" w:rsidR="00660262" w:rsidRPr="00944CCC" w:rsidRDefault="00660262" w:rsidP="0056051A">
      <w:pPr>
        <w:pStyle w:val="ListParagraph"/>
        <w:numPr>
          <w:ilvl w:val="0"/>
          <w:numId w:val="41"/>
        </w:numPr>
        <w:rPr>
          <w:rFonts w:ascii="Open Sans" w:hAnsi="Open Sans" w:cs="Open Sans"/>
          <w:lang w:eastAsia="ja-JP"/>
        </w:rPr>
      </w:pPr>
      <w:r w:rsidRPr="00944CCC">
        <w:rPr>
          <w:rFonts w:ascii="Open Sans" w:hAnsi="Open Sans" w:cs="Open Sans"/>
          <w:lang w:eastAsia="ja-JP"/>
        </w:rPr>
        <w:t>2 CFR part 200 includes the Office of Management and Budget’s or OMB past circulars A89, A87, and A133 as well as part 80 of the Education Department General Administrative Regulations, also known as EDGAR.</w:t>
      </w:r>
    </w:p>
    <w:p w14:paraId="0D8462EC" w14:textId="77777777" w:rsidR="00660262" w:rsidRPr="00944CCC" w:rsidRDefault="00660262" w:rsidP="0056051A">
      <w:pPr>
        <w:pStyle w:val="ListParagraph"/>
        <w:numPr>
          <w:ilvl w:val="0"/>
          <w:numId w:val="41"/>
        </w:numPr>
        <w:rPr>
          <w:rFonts w:ascii="Open Sans" w:hAnsi="Open Sans" w:cs="Open Sans"/>
          <w:lang w:eastAsia="ja-JP"/>
        </w:rPr>
      </w:pPr>
      <w:r w:rsidRPr="00944CCC">
        <w:rPr>
          <w:rFonts w:ascii="Open Sans" w:hAnsi="Open Sans" w:cs="Open Sans"/>
          <w:lang w:eastAsia="ja-JP"/>
        </w:rPr>
        <w:t>Subparts D and E are especially important for grantees, as they identify requirements for grantees in managing their grants and spending the grant funds. Subpart F identifies requirements for audits.</w:t>
      </w:r>
    </w:p>
    <w:p w14:paraId="2AD3B88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following sections of 2 CFR part 200 relate to reporting and monitoring subrecipients:</w:t>
      </w:r>
    </w:p>
    <w:p w14:paraId="175BB146" w14:textId="77777777" w:rsidR="00660262" w:rsidRPr="00944CCC" w:rsidRDefault="00660262" w:rsidP="0056051A">
      <w:pPr>
        <w:pStyle w:val="ListParagraph"/>
        <w:numPr>
          <w:ilvl w:val="0"/>
          <w:numId w:val="45"/>
        </w:numPr>
        <w:rPr>
          <w:rFonts w:ascii="Open Sans" w:hAnsi="Open Sans" w:cs="Open Sans"/>
          <w:lang w:eastAsia="ja-JP"/>
        </w:rPr>
      </w:pPr>
      <w:r w:rsidRPr="00944CCC">
        <w:rPr>
          <w:rFonts w:ascii="Open Sans" w:hAnsi="Open Sans" w:cs="Open Sans"/>
          <w:lang w:eastAsia="ja-JP"/>
        </w:rPr>
        <w:t>2 CFR section 200.328, financial reporting</w:t>
      </w:r>
    </w:p>
    <w:p w14:paraId="33AC78D0" w14:textId="77777777" w:rsidR="00660262" w:rsidRPr="00944CCC" w:rsidRDefault="00660262" w:rsidP="0056051A">
      <w:pPr>
        <w:pStyle w:val="ListParagraph"/>
        <w:numPr>
          <w:ilvl w:val="0"/>
          <w:numId w:val="43"/>
        </w:numPr>
        <w:rPr>
          <w:rFonts w:ascii="Open Sans" w:hAnsi="Open Sans" w:cs="Open Sans"/>
          <w:lang w:eastAsia="ja-JP"/>
        </w:rPr>
      </w:pPr>
      <w:r w:rsidRPr="00944CCC">
        <w:rPr>
          <w:rFonts w:ascii="Open Sans" w:hAnsi="Open Sans" w:cs="Open Sans"/>
          <w:lang w:eastAsia="ja-JP"/>
        </w:rPr>
        <w:t>2 CFR section 200.329, monitoring and reporting program performance</w:t>
      </w:r>
    </w:p>
    <w:p w14:paraId="7AA387BE" w14:textId="77777777" w:rsidR="00660262" w:rsidRPr="00944CCC" w:rsidRDefault="00660262" w:rsidP="0056051A">
      <w:pPr>
        <w:pStyle w:val="ListParagraph"/>
        <w:numPr>
          <w:ilvl w:val="0"/>
          <w:numId w:val="43"/>
        </w:numPr>
        <w:rPr>
          <w:rFonts w:ascii="Open Sans" w:hAnsi="Open Sans" w:cs="Open Sans"/>
          <w:lang w:eastAsia="ja-JP"/>
        </w:rPr>
      </w:pPr>
      <w:r w:rsidRPr="00944CCC">
        <w:rPr>
          <w:rFonts w:ascii="Open Sans" w:hAnsi="Open Sans" w:cs="Open Sans"/>
          <w:lang w:eastAsia="ja-JP"/>
        </w:rPr>
        <w:t>2 CFR section 200.332, the requirements for pass through entities, which is the State agency administering the AEFLA grant agencies</w:t>
      </w:r>
    </w:p>
    <w:p w14:paraId="6E9B8F76" w14:textId="77777777" w:rsidR="00660262" w:rsidRPr="00944CCC" w:rsidRDefault="00660262" w:rsidP="0056051A">
      <w:pPr>
        <w:pStyle w:val="ListParagraph"/>
        <w:numPr>
          <w:ilvl w:val="0"/>
          <w:numId w:val="43"/>
        </w:numPr>
        <w:rPr>
          <w:rFonts w:ascii="Open Sans" w:hAnsi="Open Sans" w:cs="Open Sans"/>
          <w:lang w:eastAsia="ja-JP"/>
        </w:rPr>
      </w:pPr>
      <w:r w:rsidRPr="00944CCC">
        <w:rPr>
          <w:rFonts w:ascii="Open Sans" w:hAnsi="Open Sans" w:cs="Open Sans"/>
          <w:lang w:eastAsia="ja-JP"/>
        </w:rPr>
        <w:t>2 CFR section 200.339, remedies for non-compliance, and</w:t>
      </w:r>
    </w:p>
    <w:p w14:paraId="60DBA36B" w14:textId="77777777" w:rsidR="00660262" w:rsidRPr="00944CCC" w:rsidRDefault="00660262" w:rsidP="0056051A">
      <w:pPr>
        <w:pStyle w:val="ListParagraph"/>
        <w:numPr>
          <w:ilvl w:val="0"/>
          <w:numId w:val="43"/>
        </w:numPr>
        <w:rPr>
          <w:rFonts w:ascii="Open Sans" w:hAnsi="Open Sans" w:cs="Open Sans"/>
          <w:lang w:eastAsia="ja-JP"/>
        </w:rPr>
      </w:pPr>
      <w:r w:rsidRPr="00944CCC">
        <w:rPr>
          <w:rFonts w:ascii="Open Sans" w:hAnsi="Open Sans" w:cs="Open Sans"/>
          <w:lang w:eastAsia="ja-JP"/>
        </w:rPr>
        <w:t xml:space="preserve">2 CFR section 200.340, terminations. </w:t>
      </w:r>
    </w:p>
    <w:p w14:paraId="65191BF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EDGAR which is short for Education Department General Administrative Regulations is where you’ll find regulations specific to the Department of Education.</w:t>
      </w:r>
    </w:p>
    <w:p w14:paraId="0F5268EA" w14:textId="77777777" w:rsidR="00660262" w:rsidRPr="00944CCC" w:rsidRDefault="00660262" w:rsidP="0056051A">
      <w:pPr>
        <w:pStyle w:val="ListParagraph"/>
        <w:numPr>
          <w:ilvl w:val="0"/>
          <w:numId w:val="42"/>
        </w:numPr>
        <w:rPr>
          <w:rFonts w:ascii="Open Sans" w:hAnsi="Open Sans" w:cs="Open Sans"/>
          <w:lang w:eastAsia="ja-JP"/>
        </w:rPr>
      </w:pPr>
      <w:r w:rsidRPr="00944CCC">
        <w:rPr>
          <w:rFonts w:ascii="Open Sans" w:hAnsi="Open Sans" w:cs="Open Sans"/>
          <w:lang w:eastAsia="ja-JP"/>
        </w:rPr>
        <w:t xml:space="preserve">34 CFR section 76.770 States that each State will have procedures for reviewing and approving applications and amendments for sub grants, providing technical assistance, evaluating projects, and performing other administrative responsibilities that are necessary to ensure compliance with the applicable statutes and regulations. </w:t>
      </w:r>
    </w:p>
    <w:p w14:paraId="678F837D" w14:textId="77777777" w:rsidR="00660262" w:rsidRPr="00944CCC" w:rsidRDefault="00660262" w:rsidP="0056051A">
      <w:pPr>
        <w:pStyle w:val="ListParagraph"/>
        <w:numPr>
          <w:ilvl w:val="0"/>
          <w:numId w:val="42"/>
        </w:numPr>
        <w:rPr>
          <w:rFonts w:ascii="Open Sans" w:hAnsi="Open Sans" w:cs="Open Sans"/>
          <w:lang w:eastAsia="ja-JP"/>
        </w:rPr>
      </w:pPr>
      <w:r w:rsidRPr="00944CCC">
        <w:rPr>
          <w:rFonts w:ascii="Open Sans" w:hAnsi="Open Sans" w:cs="Open Sans"/>
          <w:lang w:eastAsia="ja-JP"/>
        </w:rPr>
        <w:t xml:space="preserve">34 CFR section 76.720 covers the State reporting requirements and the financial and performance reports. This section applies to a State's report that is required under 2 CFR section 200.328 financial reporting and section 200.329, which is monitoring and reporting program performance. </w:t>
      </w:r>
    </w:p>
    <w:p w14:paraId="07B4523E" w14:textId="77777777" w:rsidR="0070713E" w:rsidRPr="00944CCC" w:rsidRDefault="00660262" w:rsidP="0056051A">
      <w:pPr>
        <w:pStyle w:val="ListParagraph"/>
        <w:numPr>
          <w:ilvl w:val="0"/>
          <w:numId w:val="42"/>
        </w:numPr>
        <w:rPr>
          <w:rFonts w:ascii="Open Sans" w:hAnsi="Open Sans" w:cs="Open Sans"/>
          <w:lang w:eastAsia="ja-JP"/>
        </w:rPr>
      </w:pPr>
      <w:r w:rsidRPr="00944CCC">
        <w:rPr>
          <w:rFonts w:ascii="Open Sans" w:hAnsi="Open Sans" w:cs="Open Sans"/>
          <w:lang w:eastAsia="ja-JP"/>
        </w:rPr>
        <w:t>34 CFR section 76.722 details subrecipient reporting requirements. This States that a State may require a subrecipient to submit reports in a manner and format that assist the State in complying with the requirements under 76.720, and then carrying out any responsibilities under the program.</w:t>
      </w:r>
    </w:p>
    <w:p w14:paraId="2BC3C35B" w14:textId="77777777" w:rsidR="0070713E" w:rsidRPr="00944CCC" w:rsidRDefault="0070713E" w:rsidP="0056051A">
      <w:pPr>
        <w:rPr>
          <w:rFonts w:ascii="Open Sans" w:hAnsi="Open Sans" w:cs="Open Sans"/>
          <w:lang w:eastAsia="ja-JP"/>
        </w:rPr>
      </w:pPr>
      <w:r w:rsidRPr="00944CCC">
        <w:rPr>
          <w:rFonts w:ascii="Open Sans" w:hAnsi="Open Sans" w:cs="Open Sans"/>
          <w:lang w:eastAsia="ja-JP"/>
        </w:rPr>
        <w:br w:type="page"/>
      </w:r>
    </w:p>
    <w:p w14:paraId="102A41B1" w14:textId="77777777" w:rsidR="00660262" w:rsidRPr="00944CCC" w:rsidRDefault="00660262" w:rsidP="00944CCC">
      <w:pPr>
        <w:pStyle w:val="Heading3"/>
      </w:pPr>
      <w:bookmarkStart w:id="144" w:name="_Toc163980044"/>
      <w:bookmarkStart w:id="145" w:name="_Toc171600516"/>
      <w:r w:rsidRPr="00944CCC">
        <w:lastRenderedPageBreak/>
        <w:t>Summary</w:t>
      </w:r>
      <w:bookmarkEnd w:id="144"/>
      <w:bookmarkEnd w:id="145"/>
    </w:p>
    <w:p w14:paraId="4026EFA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this video, we’ve covered a lot of important statutory and regulatory monitoring requirements. In summary, the main sources of monitoring requirements States need to understand are:</w:t>
      </w:r>
    </w:p>
    <w:p w14:paraId="30C4B708" w14:textId="77777777" w:rsidR="00660262" w:rsidRPr="00944CCC" w:rsidRDefault="00660262" w:rsidP="0056051A">
      <w:pPr>
        <w:pStyle w:val="ListParagraph"/>
        <w:numPr>
          <w:ilvl w:val="0"/>
          <w:numId w:val="39"/>
        </w:numPr>
        <w:rPr>
          <w:rFonts w:ascii="Open Sans" w:hAnsi="Open Sans" w:cs="Open Sans"/>
          <w:lang w:eastAsia="ja-JP"/>
        </w:rPr>
      </w:pPr>
      <w:r w:rsidRPr="00944CCC">
        <w:rPr>
          <w:rFonts w:ascii="Open Sans" w:hAnsi="Open Sans" w:cs="Open Sans"/>
          <w:lang w:eastAsia="ja-JP"/>
        </w:rPr>
        <w:t>The WIOA title II statute</w:t>
      </w:r>
    </w:p>
    <w:p w14:paraId="05AE6DD3" w14:textId="77777777" w:rsidR="00660262" w:rsidRPr="00944CCC" w:rsidRDefault="00660262" w:rsidP="0056051A">
      <w:pPr>
        <w:pStyle w:val="ListParagraph"/>
        <w:numPr>
          <w:ilvl w:val="0"/>
          <w:numId w:val="39"/>
        </w:numPr>
        <w:rPr>
          <w:rFonts w:ascii="Open Sans" w:hAnsi="Open Sans" w:cs="Open Sans"/>
          <w:lang w:eastAsia="ja-JP"/>
        </w:rPr>
      </w:pPr>
      <w:r w:rsidRPr="00944CCC">
        <w:rPr>
          <w:rFonts w:ascii="Open Sans" w:hAnsi="Open Sans" w:cs="Open Sans"/>
          <w:lang w:eastAsia="ja-JP"/>
        </w:rPr>
        <w:t>The AEFLA specific regulations, 34 CFR parts 462 and 463</w:t>
      </w:r>
    </w:p>
    <w:p w14:paraId="0FB7E8CF" w14:textId="77777777" w:rsidR="00660262" w:rsidRPr="00944CCC" w:rsidRDefault="00660262" w:rsidP="0056051A">
      <w:pPr>
        <w:pStyle w:val="ListParagraph"/>
        <w:numPr>
          <w:ilvl w:val="0"/>
          <w:numId w:val="39"/>
        </w:numPr>
        <w:rPr>
          <w:rFonts w:ascii="Open Sans" w:hAnsi="Open Sans" w:cs="Open Sans"/>
          <w:lang w:eastAsia="ja-JP"/>
        </w:rPr>
      </w:pPr>
      <w:r w:rsidRPr="00944CCC">
        <w:rPr>
          <w:rFonts w:ascii="Open Sans" w:hAnsi="Open Sans" w:cs="Open Sans"/>
          <w:lang w:eastAsia="ja-JP"/>
        </w:rPr>
        <w:t>Uniform Guidance, and</w:t>
      </w:r>
    </w:p>
    <w:p w14:paraId="1D6B06AC" w14:textId="77777777" w:rsidR="00660262" w:rsidRPr="00944CCC" w:rsidRDefault="00660262" w:rsidP="0056051A">
      <w:pPr>
        <w:pStyle w:val="ListParagraph"/>
        <w:numPr>
          <w:ilvl w:val="0"/>
          <w:numId w:val="39"/>
        </w:numPr>
        <w:rPr>
          <w:rFonts w:ascii="Open Sans" w:hAnsi="Open Sans" w:cs="Open Sans"/>
        </w:rPr>
      </w:pPr>
      <w:r w:rsidRPr="00944CCC">
        <w:rPr>
          <w:rFonts w:ascii="Open Sans" w:hAnsi="Open Sans" w:cs="Open Sans"/>
          <w:lang w:eastAsia="ja-JP"/>
        </w:rPr>
        <w:t>EDGAR</w:t>
      </w:r>
    </w:p>
    <w:p w14:paraId="2DEBB42D" w14:textId="77777777" w:rsidR="0070713E" w:rsidRPr="00944CCC" w:rsidRDefault="00660262" w:rsidP="0056051A">
      <w:pPr>
        <w:rPr>
          <w:rFonts w:ascii="Open Sans" w:hAnsi="Open Sans" w:cs="Open Sans"/>
          <w:lang w:eastAsia="ja-JP"/>
        </w:rPr>
      </w:pPr>
      <w:r w:rsidRPr="00944CCC">
        <w:rPr>
          <w:rFonts w:ascii="Open Sans" w:hAnsi="Open Sans" w:cs="Open Sans"/>
          <w:lang w:eastAsia="ja-JP"/>
        </w:rPr>
        <w:t>In the Playbook, you’ll find consolidated versions of all these requirements, as well as other resources that will help you understand statutory and regulatory monitoring requirements. Finally, be sure to check out the other videos in this series on monitoring local providers.</w:t>
      </w:r>
    </w:p>
    <w:p w14:paraId="466BE4F5" w14:textId="77777777" w:rsidR="0070713E" w:rsidRPr="00944CCC" w:rsidRDefault="0070713E" w:rsidP="0056051A">
      <w:pPr>
        <w:rPr>
          <w:rFonts w:ascii="Open Sans" w:hAnsi="Open Sans" w:cs="Open Sans"/>
          <w:lang w:eastAsia="ja-JP"/>
        </w:rPr>
      </w:pPr>
      <w:r w:rsidRPr="00944CCC">
        <w:rPr>
          <w:rFonts w:ascii="Open Sans" w:hAnsi="Open Sans" w:cs="Open Sans"/>
          <w:lang w:eastAsia="ja-JP"/>
        </w:rPr>
        <w:br w:type="page"/>
      </w:r>
    </w:p>
    <w:p w14:paraId="343B7734" w14:textId="77777777" w:rsidR="00660262" w:rsidRPr="00944CCC" w:rsidRDefault="00660262" w:rsidP="0056051A">
      <w:pPr>
        <w:pStyle w:val="Heading2"/>
        <w:rPr>
          <w:rFonts w:ascii="Open Sans" w:hAnsi="Open Sans" w:cs="Open Sans"/>
          <w:color w:val="032E53"/>
        </w:rPr>
      </w:pPr>
      <w:bookmarkStart w:id="146" w:name="_Risk_Based_Monitoring"/>
      <w:bookmarkStart w:id="147" w:name="_Toc163980045"/>
      <w:bookmarkStart w:id="148" w:name="_Toc171600517"/>
      <w:bookmarkEnd w:id="146"/>
      <w:r w:rsidRPr="00944CCC">
        <w:rPr>
          <w:rFonts w:ascii="Open Sans" w:hAnsi="Open Sans" w:cs="Open Sans"/>
          <w:color w:val="032E53"/>
        </w:rPr>
        <w:lastRenderedPageBreak/>
        <w:t>Risk Based Monitoring</w:t>
      </w:r>
      <w:bookmarkEnd w:id="147"/>
      <w:bookmarkEnd w:id="148"/>
    </w:p>
    <w:p w14:paraId="6858C47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This video will take a closer look at risk-based monitoring, which is a helpful approach that States can use to monitor local providers. This video is part of a series of videos on monitoring local providers. After viewing the videos in this series, you will be able to:</w:t>
      </w:r>
    </w:p>
    <w:p w14:paraId="307589AE" w14:textId="77777777" w:rsidR="00660262" w:rsidRPr="00944CCC" w:rsidRDefault="00660262" w:rsidP="0056051A">
      <w:pPr>
        <w:pStyle w:val="ListParagraph"/>
        <w:numPr>
          <w:ilvl w:val="0"/>
          <w:numId w:val="38"/>
        </w:numPr>
        <w:rPr>
          <w:rFonts w:ascii="Open Sans" w:hAnsi="Open Sans" w:cs="Open Sans"/>
          <w:lang w:eastAsia="ja-JP"/>
        </w:rPr>
      </w:pPr>
      <w:r w:rsidRPr="00944CCC">
        <w:rPr>
          <w:rFonts w:ascii="Open Sans" w:hAnsi="Open Sans" w:cs="Open Sans"/>
          <w:lang w:eastAsia="ja-JP"/>
        </w:rPr>
        <w:t>Understand monitoring requirements found in the law and the regulations</w:t>
      </w:r>
    </w:p>
    <w:p w14:paraId="282FB580" w14:textId="77777777" w:rsidR="00660262" w:rsidRPr="00944CCC" w:rsidRDefault="00660262" w:rsidP="0056051A">
      <w:pPr>
        <w:pStyle w:val="ListParagraph"/>
        <w:numPr>
          <w:ilvl w:val="0"/>
          <w:numId w:val="38"/>
        </w:numPr>
        <w:rPr>
          <w:rFonts w:ascii="Open Sans" w:hAnsi="Open Sans" w:cs="Open Sans"/>
          <w:lang w:eastAsia="ja-JP"/>
        </w:rPr>
      </w:pPr>
      <w:r w:rsidRPr="00944CCC">
        <w:rPr>
          <w:rFonts w:ascii="Open Sans" w:hAnsi="Open Sans" w:cs="Open Sans"/>
          <w:lang w:eastAsia="ja-JP"/>
        </w:rPr>
        <w:t>Identify the areas to monitor to meet those requirements</w:t>
      </w:r>
    </w:p>
    <w:p w14:paraId="4952A872" w14:textId="77777777" w:rsidR="00660262" w:rsidRPr="00944CCC" w:rsidRDefault="00660262" w:rsidP="0056051A">
      <w:pPr>
        <w:pStyle w:val="ListParagraph"/>
        <w:numPr>
          <w:ilvl w:val="0"/>
          <w:numId w:val="38"/>
        </w:numPr>
        <w:rPr>
          <w:rFonts w:ascii="Open Sans" w:hAnsi="Open Sans" w:cs="Open Sans"/>
          <w:lang w:eastAsia="ja-JP"/>
        </w:rPr>
      </w:pPr>
      <w:r w:rsidRPr="00944CCC">
        <w:rPr>
          <w:rFonts w:ascii="Open Sans" w:hAnsi="Open Sans" w:cs="Open Sans"/>
          <w:lang w:eastAsia="ja-JP"/>
        </w:rPr>
        <w:t>Consider some different ways to monitor</w:t>
      </w:r>
    </w:p>
    <w:p w14:paraId="0314F90E" w14:textId="77777777" w:rsidR="00660262" w:rsidRPr="00944CCC" w:rsidRDefault="00660262" w:rsidP="0056051A">
      <w:pPr>
        <w:pStyle w:val="ListParagraph"/>
        <w:numPr>
          <w:ilvl w:val="0"/>
          <w:numId w:val="38"/>
        </w:numPr>
        <w:rPr>
          <w:rFonts w:ascii="Open Sans" w:hAnsi="Open Sans" w:cs="Open Sans"/>
          <w:lang w:eastAsia="ja-JP"/>
        </w:rPr>
      </w:pPr>
      <w:r w:rsidRPr="00944CCC">
        <w:rPr>
          <w:rFonts w:ascii="Open Sans" w:hAnsi="Open Sans" w:cs="Open Sans"/>
          <w:lang w:eastAsia="ja-JP"/>
        </w:rPr>
        <w:t>Learn about some tools to use, and</w:t>
      </w:r>
    </w:p>
    <w:p w14:paraId="56A3472E" w14:textId="77777777" w:rsidR="00660262" w:rsidRPr="00944CCC" w:rsidRDefault="00660262" w:rsidP="0056051A">
      <w:pPr>
        <w:pStyle w:val="ListParagraph"/>
        <w:numPr>
          <w:ilvl w:val="0"/>
          <w:numId w:val="38"/>
        </w:numPr>
        <w:rPr>
          <w:rFonts w:ascii="Open Sans" w:hAnsi="Open Sans" w:cs="Open Sans"/>
          <w:lang w:eastAsia="ja-JP"/>
        </w:rPr>
      </w:pPr>
      <w:r w:rsidRPr="00944CCC">
        <w:rPr>
          <w:rFonts w:ascii="Open Sans" w:hAnsi="Open Sans" w:cs="Open Sans"/>
          <w:lang w:eastAsia="ja-JP"/>
        </w:rPr>
        <w:t>Know where to seek help, get answers to any questions, and find additional resources that States may need</w:t>
      </w:r>
    </w:p>
    <w:p w14:paraId="50EE9949" w14:textId="77777777" w:rsidR="00660262" w:rsidRPr="00944CCC" w:rsidRDefault="00660262" w:rsidP="00944CCC">
      <w:pPr>
        <w:pStyle w:val="Heading3"/>
      </w:pPr>
      <w:bookmarkStart w:id="149" w:name="_Toc163980046"/>
      <w:bookmarkStart w:id="150" w:name="_Toc171600518"/>
      <w:r w:rsidRPr="00944CCC">
        <w:t>Why Risk-based Monitoring Is Important</w:t>
      </w:r>
      <w:bookmarkEnd w:id="149"/>
      <w:bookmarkEnd w:id="150"/>
    </w:p>
    <w:p w14:paraId="6C7B73B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Using a risk-based approach to monitoring allows States to identify and prioritize grantees to be monitored based on the resources available.</w:t>
      </w:r>
    </w:p>
    <w:p w14:paraId="5713FAE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Risk-based monitoring creates a proactive system to ensure programmatic and fiscal success of all subrecipients. It is an acknowledgement that some subrecipients may need additional assistance to implement an effective adult education program and to remain in compliance with the federal statute and regulations. By identifying subrecipients with high risk, States can adequately monitor and provide technical assistance to further prevent waste, fraud, and abuse.</w:t>
      </w:r>
    </w:p>
    <w:p w14:paraId="348DDA8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Using a risk-based approach is also a requirement in the Uniform Guidance found in 2 CFR section 200.332(b)(d) and (e).</w:t>
      </w:r>
    </w:p>
    <w:p w14:paraId="4104EF4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Let’s discuss one of the eight requirements in 2 CFR §200.332. Note that these requirements are in 2 CFR 200.332, in subsection (b). </w:t>
      </w:r>
    </w:p>
    <w:p w14:paraId="755CD4F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Like many grantees, you may not have enough resources or staff available to monitor your subrecipients as frequently or thoroughly as you would like. The way to mitigate this is to use a risk-based monitoring approach that can help you allocate your monitoring resources in a much more efficient and effective way.</w:t>
      </w:r>
    </w:p>
    <w:p w14:paraId="05628423" w14:textId="77777777" w:rsidR="00660262" w:rsidRPr="00944CCC" w:rsidRDefault="00660262" w:rsidP="00944CCC">
      <w:pPr>
        <w:pStyle w:val="Heading3"/>
      </w:pPr>
      <w:bookmarkStart w:id="151" w:name="_Toc163980047"/>
      <w:bookmarkStart w:id="152" w:name="_Toc171600519"/>
      <w:r w:rsidRPr="00944CCC">
        <w:t>What Is Risk-based Monitoring?</w:t>
      </w:r>
      <w:bookmarkEnd w:id="151"/>
      <w:bookmarkEnd w:id="152"/>
    </w:p>
    <w:p w14:paraId="2F73F0F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Risk-based monitoring is a process used by many of the Department's grantees to address the issue of not being able to monitor all subrecipients all the time. It’s a process we even use here in the Office of Career, Technical, and Adult Education, or OCTAE. In fact, programs at the Department are required to use risk-based </w:t>
      </w:r>
      <w:r w:rsidRPr="00944CCC">
        <w:rPr>
          <w:rFonts w:ascii="Open Sans" w:hAnsi="Open Sans" w:cs="Open Sans"/>
          <w:lang w:eastAsia="ja-JP"/>
        </w:rPr>
        <w:lastRenderedPageBreak/>
        <w:t>monitoring in the Department of Education’s directive “Guide for Managing Formula Grant Programs.”</w:t>
      </w:r>
    </w:p>
    <w:p w14:paraId="0DF0A4D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first component of risk-based monitoring is conducting a risk assessment. So how does a risk assessment work? A risk assessment is done by identifying subrecipients that are most likely to have challenges in meeting the goals of a program or to fail to meet federal, fiscal, or programmatic requirements, or otherwise present a greater risk to the federal interest for any number of reasons. Those reasons could include the size of a recipient's grant, a new local director, frequent staff turnover, low performance, poor data quality, or challenges implementing the program.</w:t>
      </w:r>
    </w:p>
    <w:p w14:paraId="63F1069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 State has the flexibility to design its own risk rubric and include the risk factors a State determines are important for assessing the level of risk of local programs. Once a State identifies the greatest concentrations of risk, then the State can adjust its monitoring plan to focus its attention and resources on the subrecipients that require more intensive monitoring and technical assistance. </w:t>
      </w:r>
    </w:p>
    <w:p w14:paraId="30971FC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You need your risk assessment to work for you. Your risk assessment should make sense in your monitoring plan and give you the information you need to make decisions about which programs could use your expertise in helping them to improve their local programs. You should review and update your risk assessment annually.</w:t>
      </w:r>
    </w:p>
    <w:p w14:paraId="30AA18D7" w14:textId="77777777" w:rsidR="00660262" w:rsidRPr="00944CCC" w:rsidRDefault="00660262" w:rsidP="00944CCC">
      <w:pPr>
        <w:pStyle w:val="Heading3"/>
      </w:pPr>
      <w:bookmarkStart w:id="153" w:name="_Toc163980048"/>
      <w:bookmarkStart w:id="154" w:name="_Toc171600520"/>
      <w:r w:rsidRPr="00944CCC">
        <w:t>Risk-based Monitoring in Your Monitoring Plan</w:t>
      </w:r>
      <w:bookmarkEnd w:id="153"/>
      <w:bookmarkEnd w:id="154"/>
    </w:p>
    <w:p w14:paraId="0887AEE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Ok, so let’s look at how you can incorporate a risk-based approach in your overall monitoring plan. </w:t>
      </w:r>
    </w:p>
    <w:p w14:paraId="584D694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It's likely that your organization already considers certain risks formally or informally in your planning. It's important to clearly lay this process out. Risk analysis performed by States can be broken down into four primary parts:</w:t>
      </w:r>
    </w:p>
    <w:p w14:paraId="2CCC735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basic steps from 2 CFR section 200.332(b) are as follows:</w:t>
      </w:r>
    </w:p>
    <w:p w14:paraId="3A722421" w14:textId="77777777" w:rsidR="00660262" w:rsidRPr="00944CCC" w:rsidRDefault="00660262" w:rsidP="0056051A">
      <w:pPr>
        <w:pStyle w:val="ListParagraph"/>
        <w:numPr>
          <w:ilvl w:val="0"/>
          <w:numId w:val="47"/>
        </w:numPr>
        <w:rPr>
          <w:rFonts w:ascii="Open Sans" w:hAnsi="Open Sans" w:cs="Open Sans"/>
          <w:lang w:eastAsia="ja-JP"/>
        </w:rPr>
      </w:pPr>
      <w:r w:rsidRPr="00944CCC">
        <w:rPr>
          <w:rFonts w:ascii="Open Sans" w:hAnsi="Open Sans" w:cs="Open Sans"/>
          <w:lang w:eastAsia="ja-JP"/>
        </w:rPr>
        <w:t xml:space="preserve">First, identify the appropriate risk factors or the indicators that are meaningful to your State and program. Assign each of these factors a weight or value. </w:t>
      </w:r>
    </w:p>
    <w:p w14:paraId="47E0D70F" w14:textId="77777777" w:rsidR="00660262" w:rsidRPr="00944CCC" w:rsidRDefault="00660262" w:rsidP="0056051A">
      <w:pPr>
        <w:pStyle w:val="ListParagraph"/>
        <w:numPr>
          <w:ilvl w:val="0"/>
          <w:numId w:val="47"/>
        </w:numPr>
        <w:rPr>
          <w:rFonts w:ascii="Open Sans" w:hAnsi="Open Sans" w:cs="Open Sans"/>
          <w:lang w:eastAsia="ja-JP"/>
        </w:rPr>
      </w:pPr>
      <w:r w:rsidRPr="00944CCC">
        <w:rPr>
          <w:rFonts w:ascii="Open Sans" w:hAnsi="Open Sans" w:cs="Open Sans"/>
          <w:lang w:eastAsia="ja-JP"/>
        </w:rPr>
        <w:t>Second, evaluate your subrecipients against the risk factors, and then you rank them in order of risk.</w:t>
      </w:r>
    </w:p>
    <w:p w14:paraId="17A748D2" w14:textId="77777777" w:rsidR="00660262" w:rsidRPr="00944CCC" w:rsidRDefault="00660262" w:rsidP="0056051A">
      <w:pPr>
        <w:pStyle w:val="ListParagraph"/>
        <w:numPr>
          <w:ilvl w:val="0"/>
          <w:numId w:val="47"/>
        </w:numPr>
        <w:rPr>
          <w:rFonts w:ascii="Open Sans" w:hAnsi="Open Sans" w:cs="Open Sans"/>
          <w:lang w:eastAsia="ja-JP"/>
        </w:rPr>
      </w:pPr>
      <w:r w:rsidRPr="00944CCC">
        <w:rPr>
          <w:rFonts w:ascii="Open Sans" w:hAnsi="Open Sans" w:cs="Open Sans"/>
          <w:lang w:eastAsia="ja-JP"/>
        </w:rPr>
        <w:t xml:space="preserve">Third, perform a resource assessment. Identify available monitoring resources and </w:t>
      </w:r>
      <w:proofErr w:type="gramStart"/>
      <w:r w:rsidRPr="00944CCC">
        <w:rPr>
          <w:rFonts w:ascii="Open Sans" w:hAnsi="Open Sans" w:cs="Open Sans"/>
          <w:lang w:eastAsia="ja-JP"/>
        </w:rPr>
        <w:t>staff, and</w:t>
      </w:r>
      <w:proofErr w:type="gramEnd"/>
      <w:r w:rsidRPr="00944CCC">
        <w:rPr>
          <w:rFonts w:ascii="Open Sans" w:hAnsi="Open Sans" w:cs="Open Sans"/>
          <w:lang w:eastAsia="ja-JP"/>
        </w:rPr>
        <w:t xml:space="preserve"> weigh them against your monitoring needs.</w:t>
      </w:r>
    </w:p>
    <w:p w14:paraId="07A16920" w14:textId="77777777" w:rsidR="00660262" w:rsidRPr="00944CCC" w:rsidRDefault="00660262" w:rsidP="0056051A">
      <w:pPr>
        <w:pStyle w:val="ListParagraph"/>
        <w:numPr>
          <w:ilvl w:val="0"/>
          <w:numId w:val="47"/>
        </w:numPr>
        <w:rPr>
          <w:rFonts w:ascii="Open Sans" w:hAnsi="Open Sans" w:cs="Open Sans"/>
          <w:lang w:eastAsia="ja-JP"/>
        </w:rPr>
      </w:pPr>
      <w:r w:rsidRPr="00944CCC">
        <w:rPr>
          <w:rFonts w:ascii="Open Sans" w:hAnsi="Open Sans" w:cs="Open Sans"/>
          <w:lang w:eastAsia="ja-JP"/>
        </w:rPr>
        <w:lastRenderedPageBreak/>
        <w:t xml:space="preserve">Finally, adjust your monitoring plan and schedule to address any areas of heightened risk while </w:t>
      </w:r>
      <w:proofErr w:type="gramStart"/>
      <w:r w:rsidRPr="00944CCC">
        <w:rPr>
          <w:rFonts w:ascii="Open Sans" w:hAnsi="Open Sans" w:cs="Open Sans"/>
          <w:lang w:eastAsia="ja-JP"/>
        </w:rPr>
        <w:t>taking into account</w:t>
      </w:r>
      <w:proofErr w:type="gramEnd"/>
      <w:r w:rsidRPr="00944CCC">
        <w:rPr>
          <w:rFonts w:ascii="Open Sans" w:hAnsi="Open Sans" w:cs="Open Sans"/>
          <w:lang w:eastAsia="ja-JP"/>
        </w:rPr>
        <w:t xml:space="preserve"> any limitations that you may have in your resources.</w:t>
      </w:r>
    </w:p>
    <w:p w14:paraId="564A930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Additional risk factors could be identified based on reviewing financial and performance reports. The State is responsible for ensuring that a subrecipient takes timely and appropriate action on all deficiencies identified through monitoring and takes enforcement action if that is not occurring. An example of enforcement action would be the State issuing a management decision for any audit findings and verifying that every subrecipient is audited as required. You can find all of these items in 2 CFR section 200.332(h) and </w:t>
      </w:r>
      <w:proofErr w:type="gramStart"/>
      <w:r w:rsidRPr="00944CCC">
        <w:rPr>
          <w:rFonts w:ascii="Open Sans" w:hAnsi="Open Sans" w:cs="Open Sans"/>
          <w:lang w:eastAsia="ja-JP"/>
        </w:rPr>
        <w:t>section  200.339.</w:t>
      </w:r>
      <w:proofErr w:type="gramEnd"/>
    </w:p>
    <w:p w14:paraId="05F6E89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After you identify your risk indicators, the next step is to perform that risk assessment. Score your subrecipients and programs against the set of risk indicators that you've selected. Then rank them based on relative risk. You may decide that the presence of a certain risk factor, such as severe financial difficulties, warrants placing a subrecipient in a higher risk category.</w:t>
      </w:r>
    </w:p>
    <w:p w14:paraId="6C46483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Risk assessments should be performed at least annually on all subrecipients. States should periodically review and update the factors used to evaluate risk and the weight assigned to each factor in their monitoring plan, because priorities change from year to year. You want to be sure the factors give you the information that you need, when you need it. Based on the number and complexity of risk factors that you </w:t>
      </w:r>
      <w:proofErr w:type="gramStart"/>
      <w:r w:rsidRPr="00944CCC">
        <w:rPr>
          <w:rFonts w:ascii="Open Sans" w:hAnsi="Open Sans" w:cs="Open Sans"/>
          <w:lang w:eastAsia="ja-JP"/>
        </w:rPr>
        <w:t>choose,</w:t>
      </w:r>
      <w:proofErr w:type="gramEnd"/>
      <w:r w:rsidRPr="00944CCC">
        <w:rPr>
          <w:rFonts w:ascii="Open Sans" w:hAnsi="Open Sans" w:cs="Open Sans"/>
          <w:lang w:eastAsia="ja-JP"/>
        </w:rPr>
        <w:t xml:space="preserve"> this process may be time-consuming.</w:t>
      </w:r>
    </w:p>
    <w:p w14:paraId="5F4D51E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Look at what your risk assessment is telling you and make sure that it's giving you the information that you need to make decisions about monitoring. Use of data analysis and automation as part of your risk assessment can greatly reduce the </w:t>
      </w:r>
      <w:proofErr w:type="gramStart"/>
      <w:r w:rsidRPr="00944CCC">
        <w:rPr>
          <w:rFonts w:ascii="Open Sans" w:hAnsi="Open Sans" w:cs="Open Sans"/>
          <w:lang w:eastAsia="ja-JP"/>
        </w:rPr>
        <w:t>amount</w:t>
      </w:r>
      <w:proofErr w:type="gramEnd"/>
      <w:r w:rsidRPr="00944CCC">
        <w:rPr>
          <w:rFonts w:ascii="Open Sans" w:hAnsi="Open Sans" w:cs="Open Sans"/>
          <w:lang w:eastAsia="ja-JP"/>
        </w:rPr>
        <w:t xml:space="preserve"> of resources and staff hours dedicated to performing a risk assessment. If you're able to analyze risk through a computer-based system that collects and maintains the data on these different risk factors, then you can apply the risk factors in a more consistent manner across the board, which is important.</w:t>
      </w:r>
    </w:p>
    <w:p w14:paraId="344AEDCB" w14:textId="77777777" w:rsidR="00660262" w:rsidRPr="00944CCC" w:rsidRDefault="00660262" w:rsidP="00944CCC">
      <w:pPr>
        <w:pStyle w:val="Heading3"/>
      </w:pPr>
      <w:bookmarkStart w:id="155" w:name="_Toc163980049"/>
      <w:bookmarkStart w:id="156" w:name="_Toc171600521"/>
      <w:r w:rsidRPr="00944CCC">
        <w:t>Summary</w:t>
      </w:r>
      <w:bookmarkEnd w:id="155"/>
      <w:bookmarkEnd w:id="156"/>
    </w:p>
    <w:p w14:paraId="3991626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Risk-based monitoring is a process used by States to determine monitoring approaches.</w:t>
      </w:r>
    </w:p>
    <w:p w14:paraId="19790B9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When conducting an annual risk assessment, you can include items such as the size of a subrecipient's grant, a program with a new local director, frequent staff turnover, low performance, or fiscal issues.</w:t>
      </w:r>
    </w:p>
    <w:p w14:paraId="53BDA71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 risk assessment should be performed at least annually and be conducted on all subrecipients. </w:t>
      </w:r>
    </w:p>
    <w:p w14:paraId="2DBF3EDF" w14:textId="77777777" w:rsidR="0070713E" w:rsidRPr="00944CCC" w:rsidRDefault="00660262" w:rsidP="0056051A">
      <w:pPr>
        <w:rPr>
          <w:rFonts w:ascii="Open Sans" w:hAnsi="Open Sans" w:cs="Open Sans"/>
          <w:lang w:eastAsia="ja-JP"/>
        </w:rPr>
      </w:pPr>
      <w:r w:rsidRPr="00944CCC">
        <w:rPr>
          <w:rFonts w:ascii="Open Sans" w:hAnsi="Open Sans" w:cs="Open Sans"/>
          <w:lang w:eastAsia="ja-JP"/>
        </w:rPr>
        <w:lastRenderedPageBreak/>
        <w:t>Check out the Playbook for more helpful resources on risk-based monitoring and be sure to watch the other videos in this series on monitoring local providers.</w:t>
      </w:r>
    </w:p>
    <w:p w14:paraId="1CDBC8FB" w14:textId="77777777" w:rsidR="0070713E" w:rsidRPr="00944CCC" w:rsidRDefault="0070713E" w:rsidP="0056051A">
      <w:pPr>
        <w:rPr>
          <w:rFonts w:ascii="Open Sans" w:hAnsi="Open Sans" w:cs="Open Sans"/>
          <w:lang w:eastAsia="ja-JP"/>
        </w:rPr>
      </w:pPr>
      <w:r w:rsidRPr="00944CCC">
        <w:rPr>
          <w:rFonts w:ascii="Open Sans" w:hAnsi="Open Sans" w:cs="Open Sans"/>
          <w:lang w:eastAsia="ja-JP"/>
        </w:rPr>
        <w:br w:type="page"/>
      </w:r>
    </w:p>
    <w:p w14:paraId="36BA021A" w14:textId="77777777" w:rsidR="00660262" w:rsidRPr="00944CCC" w:rsidRDefault="00660262" w:rsidP="0056051A">
      <w:pPr>
        <w:pStyle w:val="Heading2"/>
        <w:rPr>
          <w:rFonts w:ascii="Open Sans" w:hAnsi="Open Sans" w:cs="Open Sans"/>
          <w:color w:val="032E53"/>
        </w:rPr>
      </w:pPr>
      <w:bookmarkStart w:id="157" w:name="_Monitoring_Frameworks_and"/>
      <w:bookmarkStart w:id="158" w:name="_Toc163980050"/>
      <w:bookmarkStart w:id="159" w:name="_Toc171600522"/>
      <w:bookmarkEnd w:id="157"/>
      <w:r w:rsidRPr="00944CCC">
        <w:rPr>
          <w:rFonts w:ascii="Open Sans" w:hAnsi="Open Sans" w:cs="Open Sans"/>
          <w:color w:val="032E53"/>
        </w:rPr>
        <w:lastRenderedPageBreak/>
        <w:t>Monitoring Frameworks and Activities</w:t>
      </w:r>
      <w:bookmarkEnd w:id="158"/>
      <w:bookmarkEnd w:id="159"/>
    </w:p>
    <w:p w14:paraId="18EF6CC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this video, we’ll look at the importance of using a monitoring framework as well as some essential monitoring activities. This video is part of a series of videos on Monitoring Local Providers and after viewing the videos in this series, you will be able to:</w:t>
      </w:r>
    </w:p>
    <w:p w14:paraId="342CACCA" w14:textId="77777777" w:rsidR="00660262" w:rsidRPr="00944CCC" w:rsidRDefault="00660262" w:rsidP="0056051A">
      <w:pPr>
        <w:pStyle w:val="ListParagraph"/>
        <w:numPr>
          <w:ilvl w:val="0"/>
          <w:numId w:val="38"/>
        </w:numPr>
        <w:rPr>
          <w:rFonts w:ascii="Open Sans" w:hAnsi="Open Sans" w:cs="Open Sans"/>
          <w:lang w:eastAsia="ja-JP"/>
        </w:rPr>
      </w:pPr>
      <w:r w:rsidRPr="00944CCC">
        <w:rPr>
          <w:rFonts w:ascii="Open Sans" w:hAnsi="Open Sans" w:cs="Open Sans"/>
          <w:lang w:eastAsia="ja-JP"/>
        </w:rPr>
        <w:t>Understand monitoring requirements found in the law and the regulations</w:t>
      </w:r>
    </w:p>
    <w:p w14:paraId="30ED9873" w14:textId="77777777" w:rsidR="00660262" w:rsidRPr="00944CCC" w:rsidRDefault="00660262" w:rsidP="0056051A">
      <w:pPr>
        <w:pStyle w:val="ListParagraph"/>
        <w:numPr>
          <w:ilvl w:val="0"/>
          <w:numId w:val="38"/>
        </w:numPr>
        <w:rPr>
          <w:rFonts w:ascii="Open Sans" w:hAnsi="Open Sans" w:cs="Open Sans"/>
          <w:lang w:eastAsia="ja-JP"/>
        </w:rPr>
      </w:pPr>
      <w:r w:rsidRPr="00944CCC">
        <w:rPr>
          <w:rFonts w:ascii="Open Sans" w:hAnsi="Open Sans" w:cs="Open Sans"/>
          <w:lang w:eastAsia="ja-JP"/>
        </w:rPr>
        <w:t>Identify the areas to monitor to meet those requirements</w:t>
      </w:r>
    </w:p>
    <w:p w14:paraId="25FE502A" w14:textId="77777777" w:rsidR="00660262" w:rsidRPr="00944CCC" w:rsidRDefault="00660262" w:rsidP="0056051A">
      <w:pPr>
        <w:pStyle w:val="ListParagraph"/>
        <w:numPr>
          <w:ilvl w:val="0"/>
          <w:numId w:val="38"/>
        </w:numPr>
        <w:rPr>
          <w:rFonts w:ascii="Open Sans" w:hAnsi="Open Sans" w:cs="Open Sans"/>
          <w:lang w:eastAsia="ja-JP"/>
        </w:rPr>
      </w:pPr>
      <w:r w:rsidRPr="00944CCC">
        <w:rPr>
          <w:rFonts w:ascii="Open Sans" w:hAnsi="Open Sans" w:cs="Open Sans"/>
          <w:lang w:eastAsia="ja-JP"/>
        </w:rPr>
        <w:t>Consider some different ways to monitor</w:t>
      </w:r>
    </w:p>
    <w:p w14:paraId="285633AD" w14:textId="77777777" w:rsidR="00660262" w:rsidRPr="00944CCC" w:rsidRDefault="00660262" w:rsidP="0056051A">
      <w:pPr>
        <w:pStyle w:val="ListParagraph"/>
        <w:numPr>
          <w:ilvl w:val="0"/>
          <w:numId w:val="38"/>
        </w:numPr>
        <w:rPr>
          <w:rFonts w:ascii="Open Sans" w:hAnsi="Open Sans" w:cs="Open Sans"/>
          <w:lang w:eastAsia="ja-JP"/>
        </w:rPr>
      </w:pPr>
      <w:r w:rsidRPr="00944CCC">
        <w:rPr>
          <w:rFonts w:ascii="Open Sans" w:hAnsi="Open Sans" w:cs="Open Sans"/>
          <w:lang w:eastAsia="ja-JP"/>
        </w:rPr>
        <w:t>Learn about some tools to use, and</w:t>
      </w:r>
    </w:p>
    <w:p w14:paraId="0E093437" w14:textId="77777777" w:rsidR="00660262" w:rsidRPr="00944CCC" w:rsidRDefault="00660262" w:rsidP="0056051A">
      <w:pPr>
        <w:pStyle w:val="ListParagraph"/>
        <w:numPr>
          <w:ilvl w:val="0"/>
          <w:numId w:val="38"/>
        </w:numPr>
        <w:rPr>
          <w:rFonts w:ascii="Open Sans" w:hAnsi="Open Sans" w:cs="Open Sans"/>
          <w:lang w:eastAsia="ja-JP"/>
        </w:rPr>
      </w:pPr>
      <w:r w:rsidRPr="00944CCC">
        <w:rPr>
          <w:rFonts w:ascii="Open Sans" w:hAnsi="Open Sans" w:cs="Open Sans"/>
          <w:lang w:eastAsia="ja-JP"/>
        </w:rPr>
        <w:t>Know where to seek help, get answers to any questions, and find additional resources that States may need</w:t>
      </w:r>
    </w:p>
    <w:p w14:paraId="1224D695" w14:textId="77777777" w:rsidR="00660262" w:rsidRPr="00944CCC" w:rsidRDefault="00660262" w:rsidP="00944CCC">
      <w:pPr>
        <w:pStyle w:val="Heading3"/>
      </w:pPr>
      <w:bookmarkStart w:id="160" w:name="_Toc163980051"/>
      <w:bookmarkStart w:id="161" w:name="_Toc171600523"/>
      <w:r w:rsidRPr="00944CCC">
        <w:t>Why Monitoring Activities Are Important</w:t>
      </w:r>
      <w:bookmarkEnd w:id="160"/>
      <w:bookmarkEnd w:id="161"/>
    </w:p>
    <w:p w14:paraId="2A48D93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 monitoring framework and activities are important for several reasons.</w:t>
      </w:r>
    </w:p>
    <w:p w14:paraId="47C2BB1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Monitoring activities inform a framework which a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can use to consistently help subrecipients improve their program design, performance, and adult education outcomes.</w:t>
      </w:r>
    </w:p>
    <w:p w14:paraId="149081E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By having a framework, States </w:t>
      </w:r>
      <w:proofErr w:type="gramStart"/>
      <w:r w:rsidRPr="00944CCC">
        <w:rPr>
          <w:rFonts w:ascii="Open Sans" w:hAnsi="Open Sans" w:cs="Open Sans"/>
          <w:lang w:eastAsia="ja-JP"/>
        </w:rPr>
        <w:t>are able to</w:t>
      </w:r>
      <w:proofErr w:type="gramEnd"/>
      <w:r w:rsidRPr="00944CCC">
        <w:rPr>
          <w:rFonts w:ascii="Open Sans" w:hAnsi="Open Sans" w:cs="Open Sans"/>
          <w:lang w:eastAsia="ja-JP"/>
        </w:rPr>
        <w:t xml:space="preserve"> treat local providers in the same manner.</w:t>
      </w:r>
    </w:p>
    <w:p w14:paraId="06D544C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Monitoring activities consist of a variety of techniques for the States to use to review reports, track performance, and respond to subrecipient questions and concerns.</w:t>
      </w:r>
    </w:p>
    <w:p w14:paraId="3EBB69E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Monitoring activities provide flexibility for the State to determine if a review should be onsite, virtual, or desk thus allowing the State to prioritize and maximize its monitoring resources.</w:t>
      </w:r>
    </w:p>
    <w:p w14:paraId="36DB32FD" w14:textId="77777777" w:rsidR="00660262" w:rsidRPr="00944CCC" w:rsidRDefault="00660262" w:rsidP="00944CCC">
      <w:pPr>
        <w:pStyle w:val="Heading3"/>
      </w:pPr>
      <w:bookmarkStart w:id="162" w:name="_Toc163980052"/>
      <w:bookmarkStart w:id="163" w:name="_Toc171600524"/>
      <w:r w:rsidRPr="00944CCC">
        <w:t>The Monitoring Framework</w:t>
      </w:r>
      <w:bookmarkEnd w:id="162"/>
      <w:bookmarkEnd w:id="163"/>
    </w:p>
    <w:p w14:paraId="123FECD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Each State should have a monitoring framework and within that framework, there should be a monitoring plan, monitoring schedule, monitoring protocol, risk assessment, corrective action tools, and technical assistance.</w:t>
      </w:r>
    </w:p>
    <w:p w14:paraId="396E31F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monitoring framework is really the first step in creating a consistent and standard monitoring process. A monitoring framework will have several procedures within it. These procedures should use the same steps and resources for every subrecipient so that everyone is treated the same. </w:t>
      </w:r>
    </w:p>
    <w:p w14:paraId="538001E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Each procedure should always </w:t>
      </w:r>
      <w:proofErr w:type="gramStart"/>
      <w:r w:rsidRPr="00944CCC">
        <w:rPr>
          <w:rFonts w:ascii="Open Sans" w:hAnsi="Open Sans" w:cs="Open Sans"/>
          <w:lang w:eastAsia="ja-JP"/>
        </w:rPr>
        <w:t>include:</w:t>
      </w:r>
      <w:proofErr w:type="gramEnd"/>
      <w:r w:rsidRPr="00944CCC">
        <w:rPr>
          <w:rFonts w:ascii="Open Sans" w:hAnsi="Open Sans" w:cs="Open Sans"/>
          <w:lang w:eastAsia="ja-JP"/>
        </w:rPr>
        <w:t xml:space="preserve"> planning and collaboration with your local staff, field-testing, revisions once you have field tested the procedures, and training </w:t>
      </w:r>
      <w:r w:rsidRPr="00944CCC">
        <w:rPr>
          <w:rFonts w:ascii="Open Sans" w:hAnsi="Open Sans" w:cs="Open Sans"/>
          <w:lang w:eastAsia="ja-JP"/>
        </w:rPr>
        <w:lastRenderedPageBreak/>
        <w:t>monitoring staff to ensure that each subrecipient is treated the same and getting the same types of information.</w:t>
      </w:r>
    </w:p>
    <w:p w14:paraId="70D71DE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It is also important that monitoring procedures lay out exactly what to do and when to do it. This helps with the planning of monitoring reviews so that they are consistent and there is a standard application across the board. Implementing your monitoring protocol and procedures in this way will help improve program performance. </w:t>
      </w:r>
    </w:p>
    <w:p w14:paraId="07A3900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 successful monitoring protocol has a set of questions you’ll be asking local programs. It is the foundation for evaluating your local programs. This could include analyzing performance tables and targets, as well as the past year's trends. It could also include questions about program implementation or fiscal requirements.</w:t>
      </w:r>
    </w:p>
    <w:p w14:paraId="28D8ECF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Ok, so that’s a high-level look at monitoring frameworks and procedures, but what are some of the specific components that a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framework should include? A monitoring framework should include:</w:t>
      </w:r>
    </w:p>
    <w:p w14:paraId="25071E04" w14:textId="77777777" w:rsidR="00660262" w:rsidRPr="00944CCC" w:rsidRDefault="00660262" w:rsidP="0056051A">
      <w:pPr>
        <w:pStyle w:val="ListParagraph"/>
        <w:numPr>
          <w:ilvl w:val="0"/>
          <w:numId w:val="48"/>
        </w:numPr>
        <w:rPr>
          <w:rFonts w:ascii="Open Sans" w:hAnsi="Open Sans" w:cs="Open Sans"/>
          <w:lang w:eastAsia="ja-JP"/>
        </w:rPr>
      </w:pPr>
      <w:r w:rsidRPr="00944CCC">
        <w:rPr>
          <w:rFonts w:ascii="Open Sans" w:hAnsi="Open Sans" w:cs="Open Sans"/>
          <w:lang w:eastAsia="ja-JP"/>
        </w:rPr>
        <w:t>An annual monitoring schedule based on available resources and a completed risk assessment. This may include onsite, virtual, and desk reviews.</w:t>
      </w:r>
    </w:p>
    <w:p w14:paraId="1D173CF9" w14:textId="77777777" w:rsidR="00660262" w:rsidRPr="00944CCC" w:rsidRDefault="00660262" w:rsidP="0056051A">
      <w:pPr>
        <w:pStyle w:val="ListParagraph"/>
        <w:numPr>
          <w:ilvl w:val="0"/>
          <w:numId w:val="48"/>
        </w:numPr>
        <w:rPr>
          <w:rFonts w:ascii="Open Sans" w:hAnsi="Open Sans" w:cs="Open Sans"/>
          <w:lang w:eastAsia="ja-JP"/>
        </w:rPr>
      </w:pPr>
      <w:r w:rsidRPr="00944CCC">
        <w:rPr>
          <w:rFonts w:ascii="Open Sans" w:hAnsi="Open Sans" w:cs="Open Sans"/>
          <w:lang w:eastAsia="ja-JP"/>
        </w:rPr>
        <w:t>A timeline and a procedure for issuing monitoring reports. These could include the position of the program staff who draft, review, and approve the report.</w:t>
      </w:r>
    </w:p>
    <w:p w14:paraId="1F8AD4CE" w14:textId="77777777" w:rsidR="00660262" w:rsidRPr="00944CCC" w:rsidRDefault="00660262" w:rsidP="0056051A">
      <w:pPr>
        <w:pStyle w:val="ListParagraph"/>
        <w:numPr>
          <w:ilvl w:val="0"/>
          <w:numId w:val="48"/>
        </w:numPr>
        <w:rPr>
          <w:rFonts w:ascii="Open Sans" w:hAnsi="Open Sans" w:cs="Open Sans"/>
          <w:lang w:eastAsia="ja-JP"/>
        </w:rPr>
      </w:pPr>
      <w:r w:rsidRPr="00944CCC">
        <w:rPr>
          <w:rFonts w:ascii="Open Sans" w:hAnsi="Open Sans" w:cs="Open Sans"/>
          <w:lang w:eastAsia="ja-JP"/>
        </w:rPr>
        <w:t>The framework should also include documentation of your process for conferring with your legal department, when you need to, during the development of the report. You may need input from your legal counsel if findings raise new, complex, significant, or controversial legal issues, so confer with them before you issue your report.</w:t>
      </w:r>
    </w:p>
    <w:p w14:paraId="2C12AD17" w14:textId="77777777" w:rsidR="00660262" w:rsidRPr="00944CCC" w:rsidRDefault="00660262" w:rsidP="0056051A">
      <w:pPr>
        <w:pStyle w:val="ListParagraph"/>
        <w:numPr>
          <w:ilvl w:val="0"/>
          <w:numId w:val="48"/>
        </w:numPr>
        <w:rPr>
          <w:rFonts w:ascii="Open Sans" w:hAnsi="Open Sans" w:cs="Open Sans"/>
          <w:lang w:eastAsia="ja-JP"/>
        </w:rPr>
      </w:pPr>
      <w:r w:rsidRPr="00944CCC">
        <w:rPr>
          <w:rFonts w:ascii="Open Sans" w:hAnsi="Open Sans" w:cs="Open Sans"/>
          <w:lang w:eastAsia="ja-JP"/>
        </w:rPr>
        <w:t>The framework should include guidelines for when your subrecipients will be required to develop and implement a Corrective Action Plan (CAP). Have a process for reviewing, approving, and monitoring the CAPs.</w:t>
      </w:r>
    </w:p>
    <w:p w14:paraId="6387256B" w14:textId="77777777" w:rsidR="00660262" w:rsidRPr="00944CCC" w:rsidRDefault="00660262" w:rsidP="0056051A">
      <w:pPr>
        <w:pStyle w:val="ListParagraph"/>
        <w:numPr>
          <w:ilvl w:val="0"/>
          <w:numId w:val="48"/>
        </w:numPr>
        <w:rPr>
          <w:rFonts w:ascii="Open Sans" w:hAnsi="Open Sans" w:cs="Open Sans"/>
          <w:lang w:eastAsia="ja-JP"/>
        </w:rPr>
      </w:pPr>
      <w:r w:rsidRPr="00944CCC">
        <w:rPr>
          <w:rFonts w:ascii="Open Sans" w:hAnsi="Open Sans" w:cs="Open Sans"/>
          <w:lang w:eastAsia="ja-JP"/>
        </w:rPr>
        <w:t>There should also be a strategic evidence-based resolution of findings and required actions to bring the subrecipient into compliance. This could be establishing a process to monitor and document a subrecipient's progress toward resolving findings.</w:t>
      </w:r>
    </w:p>
    <w:p w14:paraId="52B36072" w14:textId="77777777" w:rsidR="00660262" w:rsidRPr="00944CCC" w:rsidRDefault="00660262" w:rsidP="0056051A">
      <w:pPr>
        <w:pStyle w:val="ListParagraph"/>
        <w:numPr>
          <w:ilvl w:val="0"/>
          <w:numId w:val="48"/>
        </w:numPr>
        <w:rPr>
          <w:rFonts w:ascii="Open Sans" w:hAnsi="Open Sans" w:cs="Open Sans"/>
          <w:lang w:eastAsia="ja-JP"/>
        </w:rPr>
      </w:pPr>
      <w:r w:rsidRPr="00944CCC">
        <w:rPr>
          <w:rFonts w:ascii="Open Sans" w:hAnsi="Open Sans" w:cs="Open Sans"/>
          <w:lang w:eastAsia="ja-JP"/>
        </w:rPr>
        <w:t xml:space="preserve">Another element a monitoring framework should include is a tracking mechanism for corrective action plans. Your local programs should send you their evidence showing that they have completed an action that brings them into compliance. Save that into your electronic file so that someone else can </w:t>
      </w:r>
      <w:r w:rsidRPr="00944CCC">
        <w:rPr>
          <w:rFonts w:ascii="Open Sans" w:hAnsi="Open Sans" w:cs="Open Sans"/>
          <w:lang w:eastAsia="ja-JP"/>
        </w:rPr>
        <w:lastRenderedPageBreak/>
        <w:t xml:space="preserve">track that and know exactly where your local programs are in their progress on closing a CAP. </w:t>
      </w:r>
    </w:p>
    <w:p w14:paraId="4687E8C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You may consider using a CAP template for tracking CAPs and it could include many things, such as a timeline for the corrective action, the evidence and strategies to meet required actions, and a schedule for the follow-up interactions to assess the subrecipient’s progress. It would describe methods that are going to be used to follow up on the subrecipient progress. This could be video conferencing, as well as email or face-to-face meetings.  Be sure you document all the interactions with your subrecipient regarding the progress on the CAP and the completion of planned corrective actions.</w:t>
      </w:r>
    </w:p>
    <w:p w14:paraId="66FAF62F" w14:textId="77777777" w:rsidR="00660262" w:rsidRPr="00944CCC" w:rsidRDefault="00660262" w:rsidP="0056051A">
      <w:pPr>
        <w:pStyle w:val="ListParagraph"/>
        <w:numPr>
          <w:ilvl w:val="0"/>
          <w:numId w:val="48"/>
        </w:numPr>
        <w:rPr>
          <w:rFonts w:ascii="Open Sans" w:hAnsi="Open Sans" w:cs="Open Sans"/>
          <w:lang w:eastAsia="ja-JP"/>
        </w:rPr>
      </w:pPr>
      <w:r w:rsidRPr="00944CCC">
        <w:rPr>
          <w:rFonts w:ascii="Open Sans" w:hAnsi="Open Sans" w:cs="Open Sans"/>
          <w:lang w:eastAsia="ja-JP"/>
        </w:rPr>
        <w:t xml:space="preserve">Finally, the framework should include a CAP closure process. Once a local provider has worked through the entire CAP, and all non-compliance issues are rectified, close the CAP by sending a CAP closure letter to the subrecipient that States that the CAP is now closed because they have addressed </w:t>
      </w:r>
      <w:proofErr w:type="gramStart"/>
      <w:r w:rsidRPr="00944CCC">
        <w:rPr>
          <w:rFonts w:ascii="Open Sans" w:hAnsi="Open Sans" w:cs="Open Sans"/>
          <w:lang w:eastAsia="ja-JP"/>
        </w:rPr>
        <w:t>all of</w:t>
      </w:r>
      <w:proofErr w:type="gramEnd"/>
      <w:r w:rsidRPr="00944CCC">
        <w:rPr>
          <w:rFonts w:ascii="Open Sans" w:hAnsi="Open Sans" w:cs="Open Sans"/>
          <w:lang w:eastAsia="ja-JP"/>
        </w:rPr>
        <w:t xml:space="preserve"> the findings that were in the report. This ensures the State has a complete set of documents from the beginning to the end of a monitoring review.</w:t>
      </w:r>
    </w:p>
    <w:p w14:paraId="44C350A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 As part of a monitoring framework, a State needs to decide whether to monitor its local programs using onsite, virtual, or desk monitoring. </w:t>
      </w:r>
    </w:p>
    <w:p w14:paraId="13F8E50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Monitoring onsite allows the program office to conduct a targeted or full review at the subrecipient's physical location. It includes interviews with local staff, onsite document reviews as well as document reviews that may also occur offsite before or after the actual review. Advance document review may save time, and help you identify any noncompliant practices before getting to the site.</w:t>
      </w:r>
    </w:p>
    <w:p w14:paraId="4E768A9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States may also conduct monitoring reviews virtually. Virtual monitoring may look </w:t>
      </w:r>
      <w:proofErr w:type="gramStart"/>
      <w:r w:rsidRPr="00944CCC">
        <w:rPr>
          <w:rFonts w:ascii="Open Sans" w:hAnsi="Open Sans" w:cs="Open Sans"/>
          <w:lang w:eastAsia="ja-JP"/>
        </w:rPr>
        <w:t>similar to</w:t>
      </w:r>
      <w:proofErr w:type="gramEnd"/>
      <w:r w:rsidRPr="00944CCC">
        <w:rPr>
          <w:rFonts w:ascii="Open Sans" w:hAnsi="Open Sans" w:cs="Open Sans"/>
          <w:lang w:eastAsia="ja-JP"/>
        </w:rPr>
        <w:t xml:space="preserve"> onsite monitoring because it may include the use of the same or similar protocol and procedures for all teams to follow. You can adapt your onsite process to make it a virtual review or use a process that's a hybrid of both virtual monitoring and onsite monitoring.</w:t>
      </w:r>
    </w:p>
    <w:p w14:paraId="34AFAF4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Desk monitoring uses the same type of process to monitor a subrecipient but is geared more toward a report-based review. This could include your subrecipient submitting documents to you that are already identified in the monitoring plan or that are routinely submitted for review by your office. You might conduct subrecipient interviews during desk monitoring to obtain additional information.</w:t>
      </w:r>
    </w:p>
    <w:p w14:paraId="52E40A4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After implementing the monitoring plan, be sure to evaluate your processes to make sure they are producing the results that you need and want.</w:t>
      </w:r>
    </w:p>
    <w:p w14:paraId="116A9385" w14:textId="77777777" w:rsidR="00660262" w:rsidRPr="00944CCC" w:rsidRDefault="00660262" w:rsidP="00944CCC">
      <w:pPr>
        <w:pStyle w:val="Heading3"/>
      </w:pPr>
      <w:bookmarkStart w:id="164" w:name="_Toc163980053"/>
      <w:bookmarkStart w:id="165" w:name="_Toc171600525"/>
      <w:r w:rsidRPr="00944CCC">
        <w:t>Summary</w:t>
      </w:r>
      <w:bookmarkEnd w:id="164"/>
      <w:bookmarkEnd w:id="165"/>
    </w:p>
    <w:p w14:paraId="40AA0D5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When it's used effectively, monitoring provides an objective basis for identifying high and low performing programs. It's also a way to identify the technical assistance needs in your State and it informs your program improvement efforts.</w:t>
      </w:r>
    </w:p>
    <w:p w14:paraId="56CF7D8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Here are some of the most important takeaways on creating a monitoring framework:</w:t>
      </w:r>
    </w:p>
    <w:p w14:paraId="710F8E97" w14:textId="77777777" w:rsidR="00660262" w:rsidRPr="00944CCC" w:rsidRDefault="00660262" w:rsidP="0056051A">
      <w:pPr>
        <w:pStyle w:val="ListParagraph"/>
        <w:numPr>
          <w:ilvl w:val="0"/>
          <w:numId w:val="48"/>
        </w:numPr>
        <w:rPr>
          <w:rFonts w:ascii="Open Sans" w:hAnsi="Open Sans" w:cs="Open Sans"/>
          <w:lang w:eastAsia="ja-JP"/>
        </w:rPr>
      </w:pPr>
      <w:r w:rsidRPr="00944CCC">
        <w:rPr>
          <w:rFonts w:ascii="Open Sans" w:hAnsi="Open Sans" w:cs="Open Sans"/>
          <w:lang w:eastAsia="ja-JP"/>
        </w:rPr>
        <w:t>Well-developed monitoring protocols and procedures create consistency and standard operating procedures, ensuring subrecipients are treated fairly.</w:t>
      </w:r>
    </w:p>
    <w:p w14:paraId="7CDE1BEE" w14:textId="77777777" w:rsidR="00660262" w:rsidRPr="00944CCC" w:rsidRDefault="00660262" w:rsidP="0056051A">
      <w:pPr>
        <w:pStyle w:val="ListParagraph"/>
        <w:numPr>
          <w:ilvl w:val="0"/>
          <w:numId w:val="48"/>
        </w:numPr>
        <w:rPr>
          <w:rFonts w:ascii="Open Sans" w:hAnsi="Open Sans" w:cs="Open Sans"/>
          <w:lang w:eastAsia="ja-JP"/>
        </w:rPr>
      </w:pPr>
      <w:r w:rsidRPr="00944CCC">
        <w:rPr>
          <w:rFonts w:ascii="Open Sans" w:hAnsi="Open Sans" w:cs="Open Sans"/>
          <w:lang w:eastAsia="ja-JP"/>
        </w:rPr>
        <w:t>Effective implementation of well-designed monitoring protocols and procedures should identify areas where technical assistance is needed.</w:t>
      </w:r>
    </w:p>
    <w:p w14:paraId="6FE27B02" w14:textId="77777777" w:rsidR="00660262" w:rsidRPr="00944CCC" w:rsidRDefault="00660262" w:rsidP="0056051A">
      <w:pPr>
        <w:pStyle w:val="ListParagraph"/>
        <w:numPr>
          <w:ilvl w:val="0"/>
          <w:numId w:val="48"/>
        </w:numPr>
        <w:rPr>
          <w:rFonts w:ascii="Open Sans" w:hAnsi="Open Sans" w:cs="Open Sans"/>
          <w:lang w:eastAsia="ja-JP"/>
        </w:rPr>
      </w:pPr>
      <w:r w:rsidRPr="00944CCC">
        <w:rPr>
          <w:rFonts w:ascii="Open Sans" w:hAnsi="Open Sans" w:cs="Open Sans"/>
          <w:lang w:eastAsia="ja-JP"/>
        </w:rPr>
        <w:t>Ready to use monitoring protocols and procedures will save State staff time.</w:t>
      </w:r>
    </w:p>
    <w:p w14:paraId="5E95FE2D" w14:textId="77777777" w:rsidR="00660262" w:rsidRPr="00944CCC" w:rsidRDefault="00660262" w:rsidP="0056051A">
      <w:pPr>
        <w:pStyle w:val="ListParagraph"/>
        <w:numPr>
          <w:ilvl w:val="0"/>
          <w:numId w:val="48"/>
        </w:numPr>
        <w:rPr>
          <w:rFonts w:ascii="Open Sans" w:hAnsi="Open Sans" w:cs="Open Sans"/>
          <w:lang w:eastAsia="ja-JP"/>
        </w:rPr>
      </w:pPr>
      <w:r w:rsidRPr="00944CCC">
        <w:rPr>
          <w:rFonts w:ascii="Open Sans" w:hAnsi="Open Sans" w:cs="Open Sans"/>
          <w:lang w:eastAsia="ja-JP"/>
        </w:rPr>
        <w:t>And continuously evaluating your monitoring protocols and procedures will aid in ensuring your local programs are producing optimal outcomes.</w:t>
      </w:r>
    </w:p>
    <w:p w14:paraId="3B44E754" w14:textId="77777777" w:rsidR="0070713E" w:rsidRPr="00944CCC" w:rsidRDefault="00660262" w:rsidP="0056051A">
      <w:pPr>
        <w:rPr>
          <w:rFonts w:ascii="Open Sans" w:hAnsi="Open Sans" w:cs="Open Sans"/>
          <w:lang w:eastAsia="ja-JP"/>
        </w:rPr>
      </w:pPr>
      <w:r w:rsidRPr="00944CCC">
        <w:rPr>
          <w:rFonts w:ascii="Open Sans" w:hAnsi="Open Sans" w:cs="Open Sans"/>
          <w:lang w:eastAsia="ja-JP"/>
        </w:rPr>
        <w:t>In the Playbook, you can find a list of helpful resources that will help you think through the steps you need to take to build your own monitoring process, whether it’s onsite, virtual, or desktop monitoring. For additional technical assistance, contact your Area Coordinator. And be sure to check out the other videos in this series on monitoring local providers.</w:t>
      </w:r>
    </w:p>
    <w:p w14:paraId="5D6B5955" w14:textId="77777777" w:rsidR="0070713E" w:rsidRPr="00944CCC" w:rsidRDefault="0070713E" w:rsidP="0056051A">
      <w:pPr>
        <w:rPr>
          <w:rFonts w:ascii="Open Sans" w:hAnsi="Open Sans" w:cs="Open Sans"/>
          <w:lang w:eastAsia="ja-JP"/>
        </w:rPr>
      </w:pPr>
      <w:r w:rsidRPr="00944CCC">
        <w:rPr>
          <w:rFonts w:ascii="Open Sans" w:hAnsi="Open Sans" w:cs="Open Sans"/>
          <w:lang w:eastAsia="ja-JP"/>
        </w:rPr>
        <w:br w:type="page"/>
      </w:r>
    </w:p>
    <w:p w14:paraId="7A4EE738" w14:textId="77777777" w:rsidR="00660262" w:rsidRPr="00944CCC" w:rsidRDefault="00660262" w:rsidP="0056051A">
      <w:pPr>
        <w:pStyle w:val="Heading2"/>
        <w:rPr>
          <w:rFonts w:ascii="Open Sans" w:hAnsi="Open Sans" w:cs="Open Sans"/>
          <w:color w:val="032E53"/>
        </w:rPr>
      </w:pPr>
      <w:bookmarkStart w:id="166" w:name="_The_Law"/>
      <w:bookmarkStart w:id="167" w:name="_Toc163980054"/>
      <w:bookmarkStart w:id="168" w:name="_Toc171600526"/>
      <w:bookmarkEnd w:id="166"/>
      <w:r w:rsidRPr="00944CCC">
        <w:rPr>
          <w:rFonts w:ascii="Open Sans" w:hAnsi="Open Sans" w:cs="Open Sans"/>
          <w:color w:val="032E53"/>
        </w:rPr>
        <w:lastRenderedPageBreak/>
        <w:t>The Law</w:t>
      </w:r>
      <w:bookmarkEnd w:id="167"/>
      <w:bookmarkEnd w:id="168"/>
    </w:p>
    <w:p w14:paraId="40094B4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Everyone in the State office, from the director to support staff, must understand the essentials of managing federal grant funds.  The successful administration of the grant life cycle, from award to close out, relies on the work of the entire adult education team to ensure consistent fiscal accountability.  </w:t>
      </w:r>
    </w:p>
    <w:p w14:paraId="3F99A70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this video, we're going to examine the financial considerations for managing the adult education grant. This is the first video in a series of videos on fiscal responsibilities and by watching these videos, you will gain a better understanding of:</w:t>
      </w:r>
    </w:p>
    <w:p w14:paraId="04AA89C6"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The statute and federal regulations that pertain to fiscal responsibilities</w:t>
      </w:r>
    </w:p>
    <w:p w14:paraId="1D742190"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 xml:space="preserve">Matching requirements </w:t>
      </w:r>
    </w:p>
    <w:p w14:paraId="0B38405F"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Maintenance of effort</w:t>
      </w:r>
    </w:p>
    <w:p w14:paraId="080A32B0"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The supplement-not-supplant provision</w:t>
      </w:r>
    </w:p>
    <w:p w14:paraId="0A4749EE"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Cost allowability and allocation</w:t>
      </w:r>
    </w:p>
    <w:p w14:paraId="6BEBE794"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Direct vs. indirect costs</w:t>
      </w:r>
    </w:p>
    <w:p w14:paraId="54201AD7"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 xml:space="preserve">Standards for documentation of personnel expenses, and </w:t>
      </w:r>
    </w:p>
    <w:p w14:paraId="6EB29088"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Internal controls and monitoring expenditures</w:t>
      </w:r>
    </w:p>
    <w:p w14:paraId="535F96D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what’s covered here, you can find links and other helpful resources in the Playbook.</w:t>
      </w:r>
    </w:p>
    <w:p w14:paraId="152B4DAA" w14:textId="77777777" w:rsidR="00660262" w:rsidRPr="00944CCC" w:rsidRDefault="00660262" w:rsidP="00944CCC">
      <w:pPr>
        <w:pStyle w:val="Heading3"/>
      </w:pPr>
      <w:bookmarkStart w:id="169" w:name="_Toc163980055"/>
      <w:bookmarkStart w:id="170" w:name="_Toc171600527"/>
      <w:r w:rsidRPr="00944CCC">
        <w:t>What Guides Fiscal Work?</w:t>
      </w:r>
      <w:bookmarkEnd w:id="169"/>
      <w:bookmarkEnd w:id="170"/>
    </w:p>
    <w:p w14:paraId="394F412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Successful fiscal accountability relies on everyone responsible for administering the Adult Education and Family Literacy Act, or AEFLA, consistently adhering to the internal controls that are put in place to ensure sound grant management.</w:t>
      </w:r>
    </w:p>
    <w:p w14:paraId="30828F0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Being familiar with the requirements in the law and the regulations will help you maintain better internal controls over those financial activities.</w:t>
      </w:r>
    </w:p>
    <w:p w14:paraId="1BB65CB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This chart illustrates the relationship between the law, regulations, and guidance that define the parameters of fiscal work in an adult education program: </w:t>
      </w:r>
    </w:p>
    <w:p w14:paraId="3E105391" w14:textId="77777777" w:rsidR="00660262" w:rsidRPr="00944CCC" w:rsidRDefault="00660262" w:rsidP="0056051A">
      <w:pPr>
        <w:pStyle w:val="ListParagraph"/>
        <w:numPr>
          <w:ilvl w:val="0"/>
          <w:numId w:val="50"/>
        </w:numPr>
        <w:rPr>
          <w:rFonts w:ascii="Open Sans" w:hAnsi="Open Sans" w:cs="Open Sans"/>
          <w:lang w:eastAsia="ja-JP"/>
        </w:rPr>
      </w:pPr>
      <w:r w:rsidRPr="00944CCC">
        <w:rPr>
          <w:rFonts w:ascii="Open Sans" w:hAnsi="Open Sans" w:cs="Open Sans"/>
          <w:lang w:eastAsia="ja-JP"/>
        </w:rPr>
        <w:t>The federal adult education grant program and the funding that supports it are authorized by AEFLA. Among other key provisions in the law, AEFLA sets forth requirements for the use of federal grant funds.</w:t>
      </w:r>
    </w:p>
    <w:p w14:paraId="1362AF28" w14:textId="77777777" w:rsidR="00660262" w:rsidRPr="00944CCC" w:rsidRDefault="00660262" w:rsidP="0056051A">
      <w:pPr>
        <w:pStyle w:val="ListParagraph"/>
        <w:numPr>
          <w:ilvl w:val="0"/>
          <w:numId w:val="50"/>
        </w:numPr>
        <w:rPr>
          <w:rFonts w:ascii="Open Sans" w:hAnsi="Open Sans" w:cs="Open Sans"/>
          <w:lang w:eastAsia="ja-JP"/>
        </w:rPr>
      </w:pPr>
      <w:r w:rsidRPr="00944CCC">
        <w:rPr>
          <w:rFonts w:ascii="Open Sans" w:hAnsi="Open Sans" w:cs="Open Sans"/>
          <w:lang w:eastAsia="ja-JP"/>
        </w:rPr>
        <w:t>The regulations promulgated by the Department of Education and Office of Management and Budget, or OMB, help to provide greater detail on certain aspects of grant management.</w:t>
      </w:r>
    </w:p>
    <w:p w14:paraId="4BE63DF7" w14:textId="77777777" w:rsidR="00660262" w:rsidRPr="00944CCC" w:rsidRDefault="00660262" w:rsidP="0056051A">
      <w:pPr>
        <w:pStyle w:val="ListParagraph"/>
        <w:numPr>
          <w:ilvl w:val="0"/>
          <w:numId w:val="50"/>
        </w:numPr>
        <w:rPr>
          <w:rFonts w:ascii="Open Sans" w:hAnsi="Open Sans" w:cs="Open Sans"/>
          <w:lang w:eastAsia="ja-JP"/>
        </w:rPr>
      </w:pPr>
      <w:r w:rsidRPr="00944CCC">
        <w:rPr>
          <w:rFonts w:ascii="Open Sans" w:hAnsi="Open Sans" w:cs="Open Sans"/>
          <w:lang w:eastAsia="ja-JP"/>
        </w:rPr>
        <w:lastRenderedPageBreak/>
        <w:t>Guidance documents help to provide even greater detail for grant administration, such as the due date for requesting an extension to reporting and the information that must accompany the request.</w:t>
      </w:r>
    </w:p>
    <w:p w14:paraId="5AE3FB8E" w14:textId="77777777" w:rsidR="00660262" w:rsidRPr="00944CCC" w:rsidRDefault="00660262" w:rsidP="00944CCC">
      <w:pPr>
        <w:pStyle w:val="Heading3"/>
      </w:pPr>
      <w:bookmarkStart w:id="171" w:name="_Toc163980056"/>
      <w:bookmarkStart w:id="172" w:name="_Toc171600528"/>
      <w:r w:rsidRPr="00944CCC">
        <w:t>Where to Find Information</w:t>
      </w:r>
      <w:bookmarkEnd w:id="171"/>
      <w:bookmarkEnd w:id="172"/>
    </w:p>
    <w:p w14:paraId="773653B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There are several sections of AEFLA that apply to the AEFLA program at the State and local levels. The work of ensuring that federal funds are used in accordance with statutory requirements must begin with a clear understanding of these sections of the law.</w:t>
      </w:r>
    </w:p>
    <w:p w14:paraId="7A36B19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Here are some important regulatory citations that come from the Uniform Administrative Requirements, Cost Principles, and Audit Requirements for Federal Awards, also known as the Uniform Guidance. These regulations cover the grant life cycle, from pre-award to post-award and include helpful information that addresses the </w:t>
      </w:r>
      <w:proofErr w:type="gramStart"/>
      <w:r w:rsidRPr="00944CCC">
        <w:rPr>
          <w:rFonts w:ascii="Open Sans" w:hAnsi="Open Sans" w:cs="Open Sans"/>
          <w:lang w:eastAsia="ja-JP"/>
        </w:rPr>
        <w:t>most commonly asked</w:t>
      </w:r>
      <w:proofErr w:type="gramEnd"/>
      <w:r w:rsidRPr="00944CCC">
        <w:rPr>
          <w:rFonts w:ascii="Open Sans" w:hAnsi="Open Sans" w:cs="Open Sans"/>
          <w:lang w:eastAsia="ja-JP"/>
        </w:rPr>
        <w:t xml:space="preserve"> questions about grant management, such as determining whether a select item of cost is allowable or unallowable.</w:t>
      </w:r>
    </w:p>
    <w:p w14:paraId="1F475EC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Additional information for State-administered grant programs can be found in the Education Department General Administrative Regulations, also known as EDGAR.</w:t>
      </w:r>
    </w:p>
    <w:p w14:paraId="100C7E7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For example, EDGAR 34 CFR Part 76 covers the principles that we must apply to determine indirect cost rates. It’s important to note that adult education grants must have a restricted indirect cost rate, which applies to programs with a statutory requirement prohibiting the use of federal funds to supplant non-federal funds.</w:t>
      </w:r>
    </w:p>
    <w:p w14:paraId="4A5C8A93" w14:textId="77777777" w:rsidR="00660262" w:rsidRPr="00944CCC" w:rsidRDefault="00660262" w:rsidP="00944CCC">
      <w:pPr>
        <w:pStyle w:val="Heading3"/>
      </w:pPr>
      <w:bookmarkStart w:id="173" w:name="_Toc163980057"/>
      <w:bookmarkStart w:id="174" w:name="_Toc171600529"/>
      <w:r w:rsidRPr="00944CCC">
        <w:t>The State Matching Requirement</w:t>
      </w:r>
      <w:bookmarkEnd w:id="173"/>
      <w:bookmarkEnd w:id="174"/>
      <w:r w:rsidRPr="00944CCC">
        <w:t xml:space="preserve"> </w:t>
      </w:r>
    </w:p>
    <w:p w14:paraId="5B3D001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Another important concept is the State matching requirement in AEFLA. The statute requires the State to provide not less than 25% of the total amount of funds expended for adult education and literacy activities in a State. </w:t>
      </w:r>
    </w:p>
    <w:p w14:paraId="4E3978A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That means 25% must come from nonfederal</w:t>
      </w:r>
      <w:r w:rsidRPr="00944CCC">
        <w:rPr>
          <w:rFonts w:ascii="Open Sans" w:hAnsi="Open Sans" w:cs="Open Sans"/>
          <w:b/>
          <w:bCs/>
          <w:i/>
          <w:iCs/>
          <w:lang w:eastAsia="ja-JP"/>
        </w:rPr>
        <w:t xml:space="preserve"> </w:t>
      </w:r>
      <w:r w:rsidRPr="00944CCC">
        <w:rPr>
          <w:rFonts w:ascii="Open Sans" w:hAnsi="Open Sans" w:cs="Open Sans"/>
          <w:lang w:eastAsia="ja-JP"/>
        </w:rPr>
        <w:t>sources. These graphs illustrate the relationship between the federal AEFLA grant and the State matching funds. If we were to fold over the State match portion of this pie chart, the nonfederal funds would cover approximately 1/3 of the federal funds. We say “approximately” because the nonfederal funds don’t always equal exactly 1/3 of federal funds in all circumstances, but it’s generally a good rule of thumb and another way to help explain the concept of the statutory matching requirement to our stakeholders and oversight bodies.</w:t>
      </w:r>
    </w:p>
    <w:p w14:paraId="0DD57F2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This next chart shows how the federal portion of those expenditures is divided into three major expenditure categories. The law requires not less than 82.5% of the federal grant to be allocated to local providers of adult education services. 82.5% is the minimum percentage, so State offices may allocate a larger portion of the federal grant to local providers. </w:t>
      </w:r>
    </w:p>
    <w:p w14:paraId="527B934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Up to 20% of the amount of federal funds allocated to local providers may be used for educational programs for individuals in correctional institutions or for other institutionalized individuals. State administration activities are capped at 5% of the grant, while State leadership activities are capped at 12.5%.</w:t>
      </w:r>
    </w:p>
    <w:p w14:paraId="69CE90D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AEFLA allows local programs to spend up to 5% of their grant for local administration. However, if the cost limits are too restrictive to allow for the required program activities, the law includes a provision for the local provider to negotiate with the State agency to determine an adequate level of funds to be used for noninstructional purposes. It's not a requirement for the State to approve a higher level of funds, but the State must give local providers an opportunity to negotiate if they request it.</w:t>
      </w:r>
    </w:p>
    <w:p w14:paraId="34968355" w14:textId="77777777" w:rsidR="00660262" w:rsidRPr="00944CCC" w:rsidRDefault="00660262" w:rsidP="00944CCC">
      <w:pPr>
        <w:pStyle w:val="Heading3"/>
      </w:pPr>
      <w:bookmarkStart w:id="175" w:name="_Toc163980058"/>
      <w:bookmarkStart w:id="176" w:name="_Toc171600530"/>
      <w:r w:rsidRPr="00944CCC">
        <w:t>Summary</w:t>
      </w:r>
      <w:bookmarkEnd w:id="175"/>
      <w:bookmarkEnd w:id="176"/>
    </w:p>
    <w:p w14:paraId="0D3932D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summary:</w:t>
      </w:r>
    </w:p>
    <w:p w14:paraId="665F34B8" w14:textId="77777777" w:rsidR="00660262" w:rsidRPr="00944CCC" w:rsidRDefault="00660262" w:rsidP="0056051A">
      <w:pPr>
        <w:pStyle w:val="ListParagraph"/>
        <w:numPr>
          <w:ilvl w:val="0"/>
          <w:numId w:val="51"/>
        </w:numPr>
        <w:rPr>
          <w:rFonts w:ascii="Open Sans" w:hAnsi="Open Sans" w:cs="Open Sans"/>
          <w:lang w:eastAsia="ja-JP"/>
        </w:rPr>
      </w:pPr>
      <w:r w:rsidRPr="00944CCC">
        <w:rPr>
          <w:rFonts w:ascii="Open Sans" w:hAnsi="Open Sans" w:cs="Open Sans"/>
          <w:lang w:eastAsia="ja-JP"/>
        </w:rPr>
        <w:t>Several important fiscal guidelines can be found in the AEFLA statute, the regulations, and guidance.</w:t>
      </w:r>
    </w:p>
    <w:p w14:paraId="6D766AE8" w14:textId="77777777" w:rsidR="00660262" w:rsidRPr="00944CCC" w:rsidRDefault="00660262" w:rsidP="0056051A">
      <w:pPr>
        <w:pStyle w:val="ListParagraph"/>
        <w:numPr>
          <w:ilvl w:val="0"/>
          <w:numId w:val="51"/>
        </w:numPr>
        <w:rPr>
          <w:rFonts w:ascii="Open Sans" w:hAnsi="Open Sans" w:cs="Open Sans"/>
          <w:lang w:eastAsia="ja-JP"/>
        </w:rPr>
      </w:pPr>
      <w:r w:rsidRPr="00944CCC">
        <w:rPr>
          <w:rFonts w:ascii="Open Sans" w:hAnsi="Open Sans" w:cs="Open Sans"/>
          <w:lang w:eastAsia="ja-JP"/>
        </w:rPr>
        <w:t>Understanding these guidelines is essential to administering AEFLA funds.</w:t>
      </w:r>
    </w:p>
    <w:p w14:paraId="72F02DFB" w14:textId="77777777" w:rsidR="00660262" w:rsidRPr="00944CCC" w:rsidRDefault="00660262" w:rsidP="0056051A">
      <w:pPr>
        <w:pStyle w:val="ListParagraph"/>
        <w:numPr>
          <w:ilvl w:val="0"/>
          <w:numId w:val="51"/>
        </w:numPr>
        <w:rPr>
          <w:rFonts w:ascii="Open Sans" w:hAnsi="Open Sans" w:cs="Open Sans"/>
          <w:lang w:eastAsia="ja-JP"/>
        </w:rPr>
      </w:pPr>
      <w:r w:rsidRPr="00944CCC">
        <w:rPr>
          <w:rFonts w:ascii="Open Sans" w:hAnsi="Open Sans" w:cs="Open Sans"/>
          <w:lang w:eastAsia="ja-JP"/>
        </w:rPr>
        <w:t>The statute requires States to provide not less than 25% of the total amount of funds expended for adult education and literacy activities in a State.</w:t>
      </w:r>
    </w:p>
    <w:p w14:paraId="0320DF03" w14:textId="77777777" w:rsidR="00660262" w:rsidRPr="00944CCC" w:rsidRDefault="00660262" w:rsidP="0056051A">
      <w:pPr>
        <w:pStyle w:val="ListParagraph"/>
        <w:numPr>
          <w:ilvl w:val="0"/>
          <w:numId w:val="51"/>
        </w:numPr>
        <w:rPr>
          <w:rFonts w:ascii="Open Sans" w:hAnsi="Open Sans" w:cs="Open Sans"/>
          <w:lang w:eastAsia="ja-JP"/>
        </w:rPr>
      </w:pPr>
      <w:r w:rsidRPr="00944CCC">
        <w:rPr>
          <w:rFonts w:ascii="Open Sans" w:hAnsi="Open Sans" w:cs="Open Sans"/>
          <w:lang w:eastAsia="ja-JP"/>
        </w:rPr>
        <w:t>And not less than 82.5% of the federal grant must be allocated to local providers of adult education services.</w:t>
      </w:r>
    </w:p>
    <w:p w14:paraId="1F182E10" w14:textId="77777777" w:rsidR="0070713E" w:rsidRPr="00944CCC" w:rsidRDefault="00660262" w:rsidP="0056051A">
      <w:pPr>
        <w:rPr>
          <w:rFonts w:ascii="Open Sans" w:hAnsi="Open Sans" w:cs="Open Sans"/>
          <w:lang w:eastAsia="ja-JP"/>
        </w:rPr>
      </w:pPr>
      <w:r w:rsidRPr="00944CCC">
        <w:rPr>
          <w:rFonts w:ascii="Open Sans" w:hAnsi="Open Sans" w:cs="Open Sans"/>
          <w:lang w:eastAsia="ja-JP"/>
        </w:rPr>
        <w:t>You can find more information on these topics linked in the playbook and be sure to check out the other videos in this series where we discuss several important fiscal topics, including cost allowability and standards for documenting personnel expenses.</w:t>
      </w:r>
    </w:p>
    <w:p w14:paraId="7DABE996" w14:textId="77777777" w:rsidR="0070713E" w:rsidRPr="00944CCC" w:rsidRDefault="0070713E" w:rsidP="0056051A">
      <w:pPr>
        <w:rPr>
          <w:rFonts w:ascii="Open Sans" w:hAnsi="Open Sans" w:cs="Open Sans"/>
          <w:lang w:eastAsia="ja-JP"/>
        </w:rPr>
      </w:pPr>
      <w:r w:rsidRPr="00944CCC">
        <w:rPr>
          <w:rFonts w:ascii="Open Sans" w:hAnsi="Open Sans" w:cs="Open Sans"/>
          <w:lang w:eastAsia="ja-JP"/>
        </w:rPr>
        <w:br w:type="page"/>
      </w:r>
    </w:p>
    <w:p w14:paraId="472D252A" w14:textId="77777777" w:rsidR="00660262" w:rsidRPr="00944CCC" w:rsidRDefault="00660262" w:rsidP="0056051A">
      <w:pPr>
        <w:pStyle w:val="Heading2"/>
        <w:rPr>
          <w:rFonts w:ascii="Open Sans" w:hAnsi="Open Sans" w:cs="Open Sans"/>
          <w:color w:val="032E53"/>
        </w:rPr>
      </w:pPr>
      <w:bookmarkStart w:id="177" w:name="_AEFLA_Grant_Matching"/>
      <w:bookmarkStart w:id="178" w:name="_Toc163980059"/>
      <w:bookmarkStart w:id="179" w:name="_Toc171600531"/>
      <w:bookmarkEnd w:id="177"/>
      <w:r w:rsidRPr="00944CCC">
        <w:rPr>
          <w:rFonts w:ascii="Open Sans" w:hAnsi="Open Sans" w:cs="Open Sans"/>
          <w:color w:val="032E53"/>
        </w:rPr>
        <w:lastRenderedPageBreak/>
        <w:t>AEFLA Grant Matching</w:t>
      </w:r>
      <w:bookmarkEnd w:id="178"/>
      <w:bookmarkEnd w:id="179"/>
    </w:p>
    <w:p w14:paraId="29F797E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this video, we will look at AEFLA grant matching and maintenance of effort. This video is part of a series on fiscal responsibilities, and by watching these videos, you will gain a better understanding of:</w:t>
      </w:r>
    </w:p>
    <w:p w14:paraId="1A8B0BA7"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Statute and federal regulations that pertain to fiscal responsibilities</w:t>
      </w:r>
    </w:p>
    <w:p w14:paraId="634AC8E0"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 xml:space="preserve">Matching requirements </w:t>
      </w:r>
    </w:p>
    <w:p w14:paraId="470936F4"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Maintenance of effort</w:t>
      </w:r>
    </w:p>
    <w:p w14:paraId="478E18F7"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The supplement-not-supplant provision</w:t>
      </w:r>
    </w:p>
    <w:p w14:paraId="31608BE8"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Cost allowability and allocation</w:t>
      </w:r>
    </w:p>
    <w:p w14:paraId="5FE40464"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Direct vs. indirect costs</w:t>
      </w:r>
    </w:p>
    <w:p w14:paraId="49896A9C"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 xml:space="preserve">Standards for documentation of personnel expenses, and </w:t>
      </w:r>
    </w:p>
    <w:p w14:paraId="37CBCD4C"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Internal controls and monitoring expenditures</w:t>
      </w:r>
    </w:p>
    <w:p w14:paraId="208FA24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what’s covered here, you can find links and other helpful resources in the Playbook.</w:t>
      </w:r>
    </w:p>
    <w:p w14:paraId="4151EE3D" w14:textId="77777777" w:rsidR="00660262" w:rsidRPr="00944CCC" w:rsidRDefault="00660262" w:rsidP="00944CCC">
      <w:pPr>
        <w:pStyle w:val="Heading3"/>
      </w:pPr>
      <w:bookmarkStart w:id="180" w:name="_Toc163980060"/>
      <w:bookmarkStart w:id="181" w:name="_Toc171600532"/>
      <w:r w:rsidRPr="00944CCC">
        <w:t>Matching Requirements</w:t>
      </w:r>
      <w:bookmarkEnd w:id="180"/>
      <w:bookmarkEnd w:id="181"/>
    </w:p>
    <w:p w14:paraId="7F2D6F9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AEFLA statute requires the State to provide not less than 25% of the total amount of funds expended for adult education and literacy activities in a State. This percentage is the “State match” of the total program funding.</w:t>
      </w:r>
    </w:p>
    <w:p w14:paraId="0D1E5D4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There are three provisions in the law that pertain to grant matching:</w:t>
      </w:r>
    </w:p>
    <w:p w14:paraId="60EE3966" w14:textId="77777777" w:rsidR="00660262" w:rsidRPr="00944CCC" w:rsidRDefault="00660262" w:rsidP="0056051A">
      <w:pPr>
        <w:pStyle w:val="ListParagraph"/>
        <w:numPr>
          <w:ilvl w:val="0"/>
          <w:numId w:val="52"/>
        </w:numPr>
        <w:rPr>
          <w:rFonts w:ascii="Open Sans" w:hAnsi="Open Sans" w:cs="Open Sans"/>
          <w:lang w:eastAsia="ja-JP"/>
        </w:rPr>
      </w:pPr>
      <w:r w:rsidRPr="00944CCC">
        <w:rPr>
          <w:rFonts w:ascii="Open Sans" w:hAnsi="Open Sans" w:cs="Open Sans"/>
          <w:lang w:eastAsia="ja-JP"/>
        </w:rPr>
        <w:t xml:space="preserve">Section 222 addresses the valuation of in-kind contributions and services and matching </w:t>
      </w:r>
      <w:proofErr w:type="gramStart"/>
      <w:r w:rsidRPr="00944CCC">
        <w:rPr>
          <w:rFonts w:ascii="Open Sans" w:hAnsi="Open Sans" w:cs="Open Sans"/>
          <w:lang w:eastAsia="ja-JP"/>
        </w:rPr>
        <w:t>exclusions;</w:t>
      </w:r>
      <w:proofErr w:type="gramEnd"/>
    </w:p>
    <w:p w14:paraId="2E1CE382" w14:textId="77777777" w:rsidR="00660262" w:rsidRPr="00944CCC" w:rsidRDefault="00660262" w:rsidP="0056051A">
      <w:pPr>
        <w:pStyle w:val="ListParagraph"/>
        <w:numPr>
          <w:ilvl w:val="0"/>
          <w:numId w:val="52"/>
        </w:numPr>
        <w:rPr>
          <w:rFonts w:ascii="Open Sans" w:hAnsi="Open Sans" w:cs="Open Sans"/>
          <w:lang w:eastAsia="ja-JP"/>
        </w:rPr>
      </w:pPr>
      <w:r w:rsidRPr="00944CCC">
        <w:rPr>
          <w:rFonts w:ascii="Open Sans" w:hAnsi="Open Sans" w:cs="Open Sans"/>
          <w:lang w:eastAsia="ja-JP"/>
        </w:rPr>
        <w:t>Section 241(a) addresses the supplement-not-supplant requirement; and</w:t>
      </w:r>
    </w:p>
    <w:p w14:paraId="2550C9D2" w14:textId="77777777" w:rsidR="00660262" w:rsidRPr="00944CCC" w:rsidRDefault="00660262" w:rsidP="0056051A">
      <w:pPr>
        <w:pStyle w:val="ListParagraph"/>
        <w:numPr>
          <w:ilvl w:val="0"/>
          <w:numId w:val="52"/>
        </w:numPr>
        <w:rPr>
          <w:rFonts w:ascii="Open Sans" w:hAnsi="Open Sans" w:cs="Open Sans"/>
          <w:lang w:eastAsia="ja-JP"/>
        </w:rPr>
      </w:pPr>
      <w:r w:rsidRPr="00944CCC">
        <w:rPr>
          <w:rFonts w:ascii="Open Sans" w:hAnsi="Open Sans" w:cs="Open Sans"/>
          <w:lang w:eastAsia="ja-JP"/>
        </w:rPr>
        <w:t>Section 241(b) describes maintenance of effort requirements.</w:t>
      </w:r>
    </w:p>
    <w:p w14:paraId="275B3DB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There are a few key principles to keep in mind when trying to determine if non-federal funding for adult education and literacy activities can be counted toward your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match. For a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match:</w:t>
      </w:r>
    </w:p>
    <w:p w14:paraId="725BEA80" w14:textId="77777777" w:rsidR="00660262" w:rsidRPr="00944CCC" w:rsidRDefault="00660262" w:rsidP="0056051A">
      <w:pPr>
        <w:pStyle w:val="ListParagraph"/>
        <w:numPr>
          <w:ilvl w:val="0"/>
          <w:numId w:val="53"/>
        </w:numPr>
        <w:rPr>
          <w:rFonts w:ascii="Open Sans" w:hAnsi="Open Sans" w:cs="Open Sans"/>
          <w:lang w:eastAsia="ja-JP"/>
        </w:rPr>
      </w:pPr>
      <w:r w:rsidRPr="00944CCC">
        <w:rPr>
          <w:rFonts w:ascii="Open Sans" w:hAnsi="Open Sans" w:cs="Open Sans"/>
          <w:lang w:eastAsia="ja-JP"/>
        </w:rPr>
        <w:t>The funds must be used toward activities that are allowed under the statute.</w:t>
      </w:r>
    </w:p>
    <w:p w14:paraId="4B4019D9" w14:textId="77777777" w:rsidR="00660262" w:rsidRPr="00944CCC" w:rsidRDefault="00660262" w:rsidP="0056051A">
      <w:pPr>
        <w:pStyle w:val="ListParagraph"/>
        <w:numPr>
          <w:ilvl w:val="0"/>
          <w:numId w:val="53"/>
        </w:numPr>
        <w:rPr>
          <w:rFonts w:ascii="Open Sans" w:hAnsi="Open Sans" w:cs="Open Sans"/>
          <w:lang w:eastAsia="ja-JP"/>
        </w:rPr>
      </w:pPr>
      <w:r w:rsidRPr="00944CCC">
        <w:rPr>
          <w:rFonts w:ascii="Open Sans" w:hAnsi="Open Sans" w:cs="Open Sans"/>
          <w:lang w:eastAsia="ja-JP"/>
        </w:rPr>
        <w:t>The use of the funds must be documented and verifiable.</w:t>
      </w:r>
    </w:p>
    <w:p w14:paraId="752C82A7" w14:textId="77777777" w:rsidR="00660262" w:rsidRPr="00944CCC" w:rsidRDefault="00660262" w:rsidP="0056051A">
      <w:pPr>
        <w:pStyle w:val="ListParagraph"/>
        <w:numPr>
          <w:ilvl w:val="0"/>
          <w:numId w:val="53"/>
        </w:numPr>
        <w:rPr>
          <w:rFonts w:ascii="Open Sans" w:hAnsi="Open Sans" w:cs="Open Sans"/>
          <w:lang w:eastAsia="ja-JP"/>
        </w:rPr>
      </w:pPr>
      <w:r w:rsidRPr="00944CCC">
        <w:rPr>
          <w:rFonts w:ascii="Open Sans" w:hAnsi="Open Sans" w:cs="Open Sans"/>
          <w:lang w:eastAsia="ja-JP"/>
        </w:rPr>
        <w:t>The use of the funds must be necessary and reasonable for accomplishing program objectives.</w:t>
      </w:r>
    </w:p>
    <w:p w14:paraId="479D454A" w14:textId="77777777" w:rsidR="00660262" w:rsidRPr="00944CCC" w:rsidRDefault="00660262" w:rsidP="0056051A">
      <w:pPr>
        <w:pStyle w:val="ListParagraph"/>
        <w:numPr>
          <w:ilvl w:val="0"/>
          <w:numId w:val="53"/>
        </w:numPr>
        <w:rPr>
          <w:rFonts w:ascii="Open Sans" w:hAnsi="Open Sans" w:cs="Open Sans"/>
          <w:lang w:eastAsia="ja-JP"/>
        </w:rPr>
      </w:pPr>
      <w:r w:rsidRPr="00944CCC">
        <w:rPr>
          <w:rFonts w:ascii="Open Sans" w:hAnsi="Open Sans" w:cs="Open Sans"/>
          <w:lang w:eastAsia="ja-JP"/>
        </w:rPr>
        <w:t>The funds must be supported by documentation of their fair market value.</w:t>
      </w:r>
    </w:p>
    <w:p w14:paraId="77781533" w14:textId="77777777" w:rsidR="00660262" w:rsidRPr="00944CCC" w:rsidRDefault="00660262" w:rsidP="0056051A">
      <w:pPr>
        <w:pStyle w:val="ListParagraph"/>
        <w:numPr>
          <w:ilvl w:val="0"/>
          <w:numId w:val="53"/>
        </w:numPr>
        <w:rPr>
          <w:rFonts w:ascii="Open Sans" w:hAnsi="Open Sans" w:cs="Open Sans"/>
          <w:lang w:eastAsia="ja-JP"/>
        </w:rPr>
      </w:pPr>
      <w:r w:rsidRPr="00944CCC">
        <w:rPr>
          <w:rFonts w:ascii="Open Sans" w:hAnsi="Open Sans" w:cs="Open Sans"/>
          <w:lang w:eastAsia="ja-JP"/>
        </w:rPr>
        <w:t>The funds must not be included as match funds for other federal grants.</w:t>
      </w:r>
    </w:p>
    <w:p w14:paraId="54D24641" w14:textId="77777777" w:rsidR="00660262" w:rsidRPr="00944CCC" w:rsidRDefault="00660262" w:rsidP="0056051A">
      <w:pPr>
        <w:pStyle w:val="ListParagraph"/>
        <w:numPr>
          <w:ilvl w:val="0"/>
          <w:numId w:val="53"/>
        </w:numPr>
        <w:rPr>
          <w:rFonts w:ascii="Open Sans" w:hAnsi="Open Sans" w:cs="Open Sans"/>
          <w:lang w:eastAsia="ja-JP"/>
        </w:rPr>
      </w:pPr>
      <w:r w:rsidRPr="00944CCC">
        <w:rPr>
          <w:rFonts w:ascii="Open Sans" w:hAnsi="Open Sans" w:cs="Open Sans"/>
          <w:lang w:eastAsia="ja-JP"/>
        </w:rPr>
        <w:t>The matching funds cannot be from another federal grant or contract.</w:t>
      </w:r>
    </w:p>
    <w:p w14:paraId="21DE07DA" w14:textId="77777777" w:rsidR="00660262" w:rsidRPr="00944CCC" w:rsidRDefault="00660262" w:rsidP="0056051A">
      <w:pPr>
        <w:pStyle w:val="ListParagraph"/>
        <w:numPr>
          <w:ilvl w:val="0"/>
          <w:numId w:val="53"/>
        </w:numPr>
        <w:rPr>
          <w:rFonts w:ascii="Open Sans" w:hAnsi="Open Sans" w:cs="Open Sans"/>
          <w:lang w:eastAsia="ja-JP"/>
        </w:rPr>
      </w:pPr>
      <w:r w:rsidRPr="00944CCC">
        <w:rPr>
          <w:rFonts w:ascii="Open Sans" w:hAnsi="Open Sans" w:cs="Open Sans"/>
          <w:lang w:eastAsia="ja-JP"/>
        </w:rPr>
        <w:lastRenderedPageBreak/>
        <w:t>And the match cannot be financed by program income.</w:t>
      </w:r>
    </w:p>
    <w:p w14:paraId="5DE000A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Let’s take a closer look at the requirement that matching funds be supported by documentation of their fair market value. What does that mean?</w:t>
      </w:r>
    </w:p>
    <w:p w14:paraId="7586B57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law describes two kinds of matching funds. The first is cash and the second is called in-kind. Local programs are responsible for evaluating the fair market value of in-kind contributions and services. That is accomplished by asking, “What would I have paid for this contribution or service, if it had not been donated?”</w:t>
      </w:r>
    </w:p>
    <w:p w14:paraId="4BEBFD5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One common example of an in-kind contribution is classroom space. Often, community centers, places of worship, and libraries donate space for adult education programs. One way for local programs to evaluate the fair market value of that donated space is by getting appraisals.</w:t>
      </w:r>
    </w:p>
    <w:p w14:paraId="37635A3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Whatever method the local program uses, the evaluation must be conducted annually, and the program must retain supporting documentation that can be readily accessed when the State conducts a monitoring review.</w:t>
      </w:r>
    </w:p>
    <w:p w14:paraId="79888E6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Local programs that are using donated space should also keep the documentation records.</w:t>
      </w:r>
    </w:p>
    <w:p w14:paraId="06CBD58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Another common donation is volunteer time. One way for a local program to fairly evaluate the market value of volunteer time is to determine what they would have paid an employee to do the same job. Again, this evaluation must be conducted annually and be well documented.</w:t>
      </w:r>
    </w:p>
    <w:p w14:paraId="54CB0989" w14:textId="77777777" w:rsidR="00660262" w:rsidRPr="00944CCC" w:rsidRDefault="00660262" w:rsidP="00944CCC">
      <w:pPr>
        <w:pStyle w:val="Heading3"/>
      </w:pPr>
      <w:bookmarkStart w:id="182" w:name="_Toc163980061"/>
      <w:bookmarkStart w:id="183" w:name="_Toc171600533"/>
      <w:r w:rsidRPr="00944CCC">
        <w:t>Maintenance of Effort</w:t>
      </w:r>
      <w:bookmarkEnd w:id="182"/>
      <w:bookmarkEnd w:id="183"/>
    </w:p>
    <w:p w14:paraId="0C39ABC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Another important concept related to matching funds is maintenance of effort. Put very simply, maintenance of effort means that a State’s annual reporting of how much was spent in non-federal funds on the grant cannot be less than 90% of the previous year.</w:t>
      </w:r>
    </w:p>
    <w:p w14:paraId="1B7FD76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For example, if a State spent a hundred dollars in non-federal matching funds last year, this year’s expenditures cannot be less than ninety dollars. AEFLA allows us to calculate this and determine whether maintenance of effort has been achieved on a per student cost or an aggregate expenditure.</w:t>
      </w:r>
    </w:p>
    <w:p w14:paraId="127813D1" w14:textId="77777777" w:rsidR="00660262" w:rsidRPr="00944CCC" w:rsidRDefault="00660262" w:rsidP="00944CCC">
      <w:pPr>
        <w:pStyle w:val="Heading3"/>
      </w:pPr>
      <w:bookmarkStart w:id="184" w:name="_Toc163980062"/>
      <w:bookmarkStart w:id="185" w:name="_Toc171600534"/>
      <w:r w:rsidRPr="00944CCC">
        <w:t>Supplement Not Supplant</w:t>
      </w:r>
      <w:bookmarkEnd w:id="184"/>
      <w:bookmarkEnd w:id="185"/>
    </w:p>
    <w:p w14:paraId="239CFAA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As was introduced earlier, there is another important provision in the law pertaining to matching funds and that is the requirement that AEFLA funds supplement but not supplant other State or local funds used for adult education and literacy activities. What this means is that the federal funds received under the AEFLA grant must not be used for things that the State or the local program already has been paying for through other funding sources. Rather, AEFLA funds are </w:t>
      </w:r>
      <w:r w:rsidRPr="00944CCC">
        <w:rPr>
          <w:rFonts w:ascii="Open Sans" w:hAnsi="Open Sans" w:cs="Open Sans"/>
          <w:lang w:eastAsia="ja-JP"/>
        </w:rPr>
        <w:lastRenderedPageBreak/>
        <w:t>intended to supplement existing State or local spending on adult education and literacy activities.</w:t>
      </w:r>
    </w:p>
    <w:p w14:paraId="5848248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So how do we know if a given use of AEFLA funds would be supplanting?</w:t>
      </w:r>
    </w:p>
    <w:p w14:paraId="62ADCBF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Supplanting is presumed in two situations. The word “presumed” is important here because it means that it's not a definite or an absolute conclusion one hundred percent of the time, but supplanting would be presumed if federal funds were used to provide services that were supported by State or local funds in the prior year.</w:t>
      </w:r>
    </w:p>
    <w:p w14:paraId="4076D82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Supplanting would also be presumed if federal funds were used to provide services that the State or local agency is required to make available due to a State or local law, regulation, or statute. The State would not be allowed to use the federal adult education funds to pay for those services. Instead, the federal funds are intended to supplement what is already being paid for in the State, not to replace those funds.</w:t>
      </w:r>
    </w:p>
    <w:p w14:paraId="2A4E97E6" w14:textId="77777777" w:rsidR="00660262" w:rsidRPr="00944CCC" w:rsidRDefault="00660262" w:rsidP="00944CCC">
      <w:pPr>
        <w:pStyle w:val="Heading3"/>
      </w:pPr>
      <w:bookmarkStart w:id="186" w:name="_Toc163980063"/>
      <w:bookmarkStart w:id="187" w:name="_Toc171600535"/>
      <w:r w:rsidRPr="00944CCC">
        <w:t>Summary</w:t>
      </w:r>
      <w:bookmarkEnd w:id="186"/>
      <w:bookmarkEnd w:id="187"/>
    </w:p>
    <w:p w14:paraId="24261C9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Be sure to familiarize yourself with </w:t>
      </w:r>
      <w:proofErr w:type="gramStart"/>
      <w:r w:rsidRPr="00944CCC">
        <w:rPr>
          <w:rFonts w:ascii="Open Sans" w:hAnsi="Open Sans" w:cs="Open Sans"/>
          <w:lang w:eastAsia="ja-JP"/>
        </w:rPr>
        <w:t>all of</w:t>
      </w:r>
      <w:proofErr w:type="gramEnd"/>
      <w:r w:rsidRPr="00944CCC">
        <w:rPr>
          <w:rFonts w:ascii="Open Sans" w:hAnsi="Open Sans" w:cs="Open Sans"/>
          <w:lang w:eastAsia="ja-JP"/>
        </w:rPr>
        <w:t xml:space="preserve"> the State matching requirements from the AEFLA statute and to remember that AEFLA funds must supplement, not supplant other adult education funds.</w:t>
      </w:r>
    </w:p>
    <w:p w14:paraId="65236BA6" w14:textId="77777777" w:rsidR="005B687F" w:rsidRPr="00944CCC" w:rsidRDefault="00660262" w:rsidP="0056051A">
      <w:pPr>
        <w:rPr>
          <w:rFonts w:ascii="Open Sans" w:hAnsi="Open Sans" w:cs="Open Sans"/>
          <w:lang w:eastAsia="ja-JP"/>
        </w:rPr>
      </w:pPr>
      <w:r w:rsidRPr="00944CCC">
        <w:rPr>
          <w:rFonts w:ascii="Open Sans" w:hAnsi="Open Sans" w:cs="Open Sans"/>
          <w:lang w:eastAsia="ja-JP"/>
        </w:rPr>
        <w:t>Check out the other videos in this series for more information on important fiscal responsibilities under AEFLA.</w:t>
      </w:r>
    </w:p>
    <w:p w14:paraId="1AE5B23F" w14:textId="77777777" w:rsidR="005B687F" w:rsidRPr="00944CCC" w:rsidRDefault="005B687F" w:rsidP="0056051A">
      <w:pPr>
        <w:rPr>
          <w:rFonts w:ascii="Open Sans" w:hAnsi="Open Sans" w:cs="Open Sans"/>
          <w:lang w:eastAsia="ja-JP"/>
        </w:rPr>
      </w:pPr>
      <w:r w:rsidRPr="00944CCC">
        <w:rPr>
          <w:rFonts w:ascii="Open Sans" w:hAnsi="Open Sans" w:cs="Open Sans"/>
          <w:lang w:eastAsia="ja-JP"/>
        </w:rPr>
        <w:br w:type="page"/>
      </w:r>
    </w:p>
    <w:p w14:paraId="78F3E6C9" w14:textId="77777777" w:rsidR="00660262" w:rsidRPr="00944CCC" w:rsidRDefault="00660262" w:rsidP="0056051A">
      <w:pPr>
        <w:pStyle w:val="Heading2"/>
        <w:rPr>
          <w:rFonts w:ascii="Open Sans" w:hAnsi="Open Sans" w:cs="Open Sans"/>
          <w:color w:val="032E53"/>
        </w:rPr>
      </w:pPr>
      <w:bookmarkStart w:id="188" w:name="_Allowable_Costs,_Documentation,"/>
      <w:bookmarkStart w:id="189" w:name="_Toc163980064"/>
      <w:bookmarkStart w:id="190" w:name="_Toc171600536"/>
      <w:bookmarkEnd w:id="188"/>
      <w:r w:rsidRPr="00944CCC">
        <w:rPr>
          <w:rFonts w:ascii="Open Sans" w:hAnsi="Open Sans" w:cs="Open Sans"/>
          <w:color w:val="032E53"/>
        </w:rPr>
        <w:lastRenderedPageBreak/>
        <w:t>Allowable Costs, Documentation, and Budget Monitoring</w:t>
      </w:r>
      <w:bookmarkEnd w:id="189"/>
      <w:bookmarkEnd w:id="190"/>
    </w:p>
    <w:p w14:paraId="3FE9AD4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this video, we’ll take a closer look at cost principles within the Uniform Guidance, which is a set of regulations published by the Office of Management and Budget, or OMB. We will introduce the factors that affect the allowability of costs, direct versus indirect costs, and the standards for documenting personnel expenses.</w:t>
      </w:r>
    </w:p>
    <w:p w14:paraId="02AA154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This video is part of a series on fiscal responsibilities, and by watching these videos, you will gain a better understanding of:</w:t>
      </w:r>
    </w:p>
    <w:p w14:paraId="51FE0D85"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Statute and federal regulations that pertain to fiscal responsibilities</w:t>
      </w:r>
    </w:p>
    <w:p w14:paraId="1A5975EC"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 xml:space="preserve">Matching requirements </w:t>
      </w:r>
    </w:p>
    <w:p w14:paraId="750D979A"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Maintenance of effort</w:t>
      </w:r>
    </w:p>
    <w:p w14:paraId="257DE9FB"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The supplement-not-supplant provision</w:t>
      </w:r>
    </w:p>
    <w:p w14:paraId="6A85FF8C"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Cost allowability and allocation</w:t>
      </w:r>
    </w:p>
    <w:p w14:paraId="31A994FF"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Direct vs. indirect costs</w:t>
      </w:r>
    </w:p>
    <w:p w14:paraId="51C5CD22"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 xml:space="preserve">Standards for documentation of personnel expenses, and </w:t>
      </w:r>
    </w:p>
    <w:p w14:paraId="2C5B6AAB" w14:textId="77777777" w:rsidR="00660262" w:rsidRPr="00944CCC" w:rsidRDefault="00660262" w:rsidP="0056051A">
      <w:pPr>
        <w:pStyle w:val="ListParagraph"/>
        <w:numPr>
          <w:ilvl w:val="0"/>
          <w:numId w:val="49"/>
        </w:numPr>
        <w:rPr>
          <w:rFonts w:ascii="Open Sans" w:hAnsi="Open Sans" w:cs="Open Sans"/>
          <w:lang w:eastAsia="ja-JP"/>
        </w:rPr>
      </w:pPr>
      <w:r w:rsidRPr="00944CCC">
        <w:rPr>
          <w:rFonts w:ascii="Open Sans" w:hAnsi="Open Sans" w:cs="Open Sans"/>
          <w:lang w:eastAsia="ja-JP"/>
        </w:rPr>
        <w:t>Internal controls and monitoring expenditures</w:t>
      </w:r>
    </w:p>
    <w:p w14:paraId="4A17E96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what’s covered here, you can find links and other helpful resources in the Playbook.</w:t>
      </w:r>
    </w:p>
    <w:p w14:paraId="1260FE1D" w14:textId="77777777" w:rsidR="00660262" w:rsidRPr="00944CCC" w:rsidRDefault="00660262" w:rsidP="00944CCC">
      <w:pPr>
        <w:pStyle w:val="Heading3"/>
      </w:pPr>
      <w:bookmarkStart w:id="191" w:name="_Toc163980065"/>
      <w:bookmarkStart w:id="192" w:name="_Toc171600537"/>
      <w:r w:rsidRPr="00944CCC">
        <w:t>Cost Allowability Factors</w:t>
      </w:r>
      <w:bookmarkEnd w:id="191"/>
      <w:bookmarkEnd w:id="192"/>
    </w:p>
    <w:p w14:paraId="2E016A2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Understanding cost allowability is an important fiscal responsibility of administering an AEFLA grant.</w:t>
      </w:r>
    </w:p>
    <w:p w14:paraId="0751A51F" w14:textId="77777777" w:rsidR="00660262" w:rsidRPr="00944CCC" w:rsidRDefault="00660262" w:rsidP="0056051A">
      <w:pPr>
        <w:rPr>
          <w:rFonts w:ascii="Open Sans" w:hAnsi="Open Sans" w:cs="Open Sans"/>
          <w:lang w:eastAsia="ja-JP"/>
        </w:rPr>
      </w:pPr>
      <w:proofErr w:type="gramStart"/>
      <w:r w:rsidRPr="00944CCC">
        <w:rPr>
          <w:rFonts w:ascii="Open Sans" w:hAnsi="Open Sans" w:cs="Open Sans"/>
          <w:lang w:eastAsia="ja-JP"/>
        </w:rPr>
        <w:t>So</w:t>
      </w:r>
      <w:proofErr w:type="gramEnd"/>
      <w:r w:rsidRPr="00944CCC">
        <w:rPr>
          <w:rFonts w:ascii="Open Sans" w:hAnsi="Open Sans" w:cs="Open Sans"/>
          <w:lang w:eastAsia="ja-JP"/>
        </w:rPr>
        <w:t xml:space="preserve"> what are the criteria that States must use to determine whether or not a cost is allowable?</w:t>
      </w:r>
    </w:p>
    <w:p w14:paraId="6238590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First, we need to determine that the costs are reasonable and necessary. There are </w:t>
      </w:r>
      <w:proofErr w:type="gramStart"/>
      <w:r w:rsidRPr="00944CCC">
        <w:rPr>
          <w:rFonts w:ascii="Open Sans" w:hAnsi="Open Sans" w:cs="Open Sans"/>
          <w:lang w:eastAsia="ja-JP"/>
        </w:rPr>
        <w:t>a number of</w:t>
      </w:r>
      <w:proofErr w:type="gramEnd"/>
      <w:r w:rsidRPr="00944CCC">
        <w:rPr>
          <w:rFonts w:ascii="Open Sans" w:hAnsi="Open Sans" w:cs="Open Sans"/>
          <w:lang w:eastAsia="ja-JP"/>
        </w:rPr>
        <w:t xml:space="preserve"> questions that you can ask to determine if a cost is reasonable, such as:</w:t>
      </w:r>
    </w:p>
    <w:p w14:paraId="26BC0EF4" w14:textId="77777777" w:rsidR="00660262" w:rsidRPr="00944CCC" w:rsidRDefault="00660262" w:rsidP="0056051A">
      <w:pPr>
        <w:pStyle w:val="ListParagraph"/>
        <w:numPr>
          <w:ilvl w:val="0"/>
          <w:numId w:val="54"/>
        </w:numPr>
        <w:rPr>
          <w:rFonts w:ascii="Open Sans" w:hAnsi="Open Sans" w:cs="Open Sans"/>
          <w:lang w:eastAsia="ja-JP"/>
        </w:rPr>
      </w:pPr>
      <w:r w:rsidRPr="00944CCC">
        <w:rPr>
          <w:rFonts w:ascii="Open Sans" w:hAnsi="Open Sans" w:cs="Open Sans"/>
          <w:lang w:eastAsia="ja-JP"/>
        </w:rPr>
        <w:t>Is the expense targeted to valid programmatic or administrative considerations?</w:t>
      </w:r>
    </w:p>
    <w:p w14:paraId="17965CF7" w14:textId="77777777" w:rsidR="00660262" w:rsidRPr="00944CCC" w:rsidRDefault="00660262" w:rsidP="0056051A">
      <w:pPr>
        <w:pStyle w:val="ListParagraph"/>
        <w:numPr>
          <w:ilvl w:val="0"/>
          <w:numId w:val="54"/>
        </w:numPr>
        <w:rPr>
          <w:rFonts w:ascii="Open Sans" w:hAnsi="Open Sans" w:cs="Open Sans"/>
          <w:lang w:eastAsia="ja-JP"/>
        </w:rPr>
      </w:pPr>
      <w:r w:rsidRPr="00944CCC">
        <w:rPr>
          <w:rFonts w:ascii="Open Sans" w:hAnsi="Open Sans" w:cs="Open Sans"/>
          <w:lang w:eastAsia="ja-JP"/>
        </w:rPr>
        <w:t>Does my State have the capacity to use what is being purchased?</w:t>
      </w:r>
    </w:p>
    <w:p w14:paraId="7E793DA7" w14:textId="77777777" w:rsidR="00660262" w:rsidRPr="00944CCC" w:rsidRDefault="00660262" w:rsidP="0056051A">
      <w:pPr>
        <w:pStyle w:val="ListParagraph"/>
        <w:numPr>
          <w:ilvl w:val="0"/>
          <w:numId w:val="54"/>
        </w:numPr>
        <w:rPr>
          <w:rFonts w:ascii="Open Sans" w:hAnsi="Open Sans" w:cs="Open Sans"/>
          <w:lang w:eastAsia="ja-JP"/>
        </w:rPr>
      </w:pPr>
      <w:r w:rsidRPr="00944CCC">
        <w:rPr>
          <w:rFonts w:ascii="Open Sans" w:hAnsi="Open Sans" w:cs="Open Sans"/>
          <w:lang w:eastAsia="ja-JP"/>
        </w:rPr>
        <w:t>Did my State pay a fair rate? Can my State prove it?</w:t>
      </w:r>
    </w:p>
    <w:p w14:paraId="0C3F2C47" w14:textId="77777777" w:rsidR="00660262" w:rsidRPr="00944CCC" w:rsidRDefault="00660262" w:rsidP="0056051A">
      <w:pPr>
        <w:pStyle w:val="ListParagraph"/>
        <w:numPr>
          <w:ilvl w:val="0"/>
          <w:numId w:val="54"/>
        </w:numPr>
        <w:rPr>
          <w:rFonts w:ascii="Open Sans" w:hAnsi="Open Sans" w:cs="Open Sans"/>
          <w:lang w:eastAsia="ja-JP"/>
        </w:rPr>
      </w:pPr>
      <w:r w:rsidRPr="00944CCC">
        <w:rPr>
          <w:rFonts w:ascii="Open Sans" w:hAnsi="Open Sans" w:cs="Open Sans"/>
          <w:lang w:eastAsia="ja-JP"/>
        </w:rPr>
        <w:t>If asked to justify this purchase, how would my State do that?</w:t>
      </w:r>
    </w:p>
    <w:p w14:paraId="6E9255F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Then there are other questions you can ask to determine if a cost is necessary, such as:</w:t>
      </w:r>
    </w:p>
    <w:p w14:paraId="7EF8CB14" w14:textId="77777777" w:rsidR="00660262" w:rsidRPr="00944CCC" w:rsidRDefault="00660262" w:rsidP="0056051A">
      <w:pPr>
        <w:pStyle w:val="ListParagraph"/>
        <w:numPr>
          <w:ilvl w:val="0"/>
          <w:numId w:val="55"/>
        </w:numPr>
        <w:rPr>
          <w:rFonts w:ascii="Open Sans" w:hAnsi="Open Sans" w:cs="Open Sans"/>
          <w:lang w:eastAsia="ja-JP"/>
        </w:rPr>
      </w:pPr>
      <w:r w:rsidRPr="00944CCC">
        <w:rPr>
          <w:rFonts w:ascii="Open Sans" w:hAnsi="Open Sans" w:cs="Open Sans"/>
          <w:lang w:eastAsia="ja-JP"/>
        </w:rPr>
        <w:t>Does my State really need this?</w:t>
      </w:r>
    </w:p>
    <w:p w14:paraId="2993C344" w14:textId="77777777" w:rsidR="00660262" w:rsidRPr="00944CCC" w:rsidRDefault="00660262" w:rsidP="0056051A">
      <w:pPr>
        <w:pStyle w:val="ListParagraph"/>
        <w:numPr>
          <w:ilvl w:val="0"/>
          <w:numId w:val="55"/>
        </w:numPr>
        <w:rPr>
          <w:rFonts w:ascii="Open Sans" w:hAnsi="Open Sans" w:cs="Open Sans"/>
          <w:lang w:eastAsia="ja-JP"/>
        </w:rPr>
      </w:pPr>
      <w:r w:rsidRPr="00944CCC">
        <w:rPr>
          <w:rFonts w:ascii="Open Sans" w:hAnsi="Open Sans" w:cs="Open Sans"/>
          <w:lang w:eastAsia="ja-JP"/>
        </w:rPr>
        <w:lastRenderedPageBreak/>
        <w:t xml:space="preserve">Is this the minimum amount required to meet my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program needs?</w:t>
      </w:r>
    </w:p>
    <w:p w14:paraId="24B6CB11" w14:textId="77777777" w:rsidR="00660262" w:rsidRPr="00944CCC" w:rsidRDefault="00660262" w:rsidP="0056051A">
      <w:pPr>
        <w:pStyle w:val="ListParagraph"/>
        <w:numPr>
          <w:ilvl w:val="0"/>
          <w:numId w:val="55"/>
        </w:numPr>
        <w:rPr>
          <w:rFonts w:ascii="Open Sans" w:hAnsi="Open Sans" w:cs="Open Sans"/>
          <w:lang w:eastAsia="ja-JP"/>
        </w:rPr>
      </w:pPr>
      <w:r w:rsidRPr="00944CCC">
        <w:rPr>
          <w:rFonts w:ascii="Open Sans" w:hAnsi="Open Sans" w:cs="Open Sans"/>
          <w:lang w:eastAsia="ja-JP"/>
        </w:rPr>
        <w:t>Does my State or do our programs have surplus items or services that could be used to meet this need?</w:t>
      </w:r>
    </w:p>
    <w:p w14:paraId="139909F8" w14:textId="77777777" w:rsidR="00660262" w:rsidRPr="00944CCC" w:rsidRDefault="00660262" w:rsidP="0056051A">
      <w:pPr>
        <w:pStyle w:val="ListParagraph"/>
        <w:numPr>
          <w:ilvl w:val="0"/>
          <w:numId w:val="55"/>
        </w:numPr>
        <w:rPr>
          <w:rFonts w:ascii="Open Sans" w:hAnsi="Open Sans" w:cs="Open Sans"/>
          <w:lang w:eastAsia="ja-JP"/>
        </w:rPr>
      </w:pPr>
      <w:r w:rsidRPr="00944CCC">
        <w:rPr>
          <w:rFonts w:ascii="Open Sans" w:hAnsi="Open Sans" w:cs="Open Sans"/>
          <w:lang w:eastAsia="ja-JP"/>
        </w:rPr>
        <w:t>Does my State or do our programs need to own</w:t>
      </w:r>
      <w:r w:rsidRPr="00944CCC">
        <w:rPr>
          <w:rFonts w:ascii="Open Sans" w:hAnsi="Open Sans" w:cs="Open Sans"/>
          <w:b/>
          <w:bCs/>
          <w:i/>
          <w:iCs/>
          <w:lang w:eastAsia="ja-JP"/>
        </w:rPr>
        <w:t xml:space="preserve"> </w:t>
      </w:r>
      <w:r w:rsidRPr="00944CCC">
        <w:rPr>
          <w:rFonts w:ascii="Open Sans" w:hAnsi="Open Sans" w:cs="Open Sans"/>
          <w:lang w:eastAsia="ja-JP"/>
        </w:rPr>
        <w:t>this item, or would it be sufficient to lease it for a short time?</w:t>
      </w:r>
    </w:p>
    <w:p w14:paraId="71202AC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next factor in determining whether a cost is allowable, is allocability. Allocability refers to whether you can determine the proportionate value or benefits that the State or local adult education program received relative to the cost of the good or service.</w:t>
      </w:r>
    </w:p>
    <w:p w14:paraId="7A173E7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An example to illustrate this concept might be a photocopier. Photocopiers are essential items in many State offices and a single copier can be used in the administration of more than one grant program, like the AEFLA program and the Perkins Career and Technical Education program. In such cases, requiring users to input a code to use the copier can help to ensure that the costs of running and maintaining the machine are allocable to each grant program.</w:t>
      </w:r>
    </w:p>
    <w:p w14:paraId="68C4FB7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There are two methods that States can use to allocate costs to the adult education program. One is a direct cost allocation, and the other is indirect. Direct costs are those costs that we can readily identify and directly tie back to an activity, like salaries and wages. If you're charging somebody's salary in your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office to the federal grant, that is a direct cost.</w:t>
      </w:r>
    </w:p>
    <w:p w14:paraId="67F06ED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Indirect costs, on the other hand, are costs that are not readily assignable to a particular activity. Examples of indirect costs are utilities and building maintenance, human resources services, computer hardware, and business operations like accounting and finance.</w:t>
      </w:r>
    </w:p>
    <w:p w14:paraId="0DD8B05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Ok, so thus far we have learned that costs must be reasonable and necessary and allocable. The next factor we need to consider is that funds must also be authorized</w:t>
      </w:r>
      <w:r w:rsidRPr="00944CCC">
        <w:rPr>
          <w:rFonts w:ascii="Open Sans" w:hAnsi="Open Sans" w:cs="Open Sans"/>
          <w:b/>
          <w:bCs/>
          <w:i/>
          <w:iCs/>
          <w:lang w:eastAsia="ja-JP"/>
        </w:rPr>
        <w:t xml:space="preserve"> </w:t>
      </w:r>
      <w:r w:rsidRPr="00944CCC">
        <w:rPr>
          <w:rFonts w:ascii="Open Sans" w:hAnsi="Open Sans" w:cs="Open Sans"/>
          <w:lang w:eastAsia="ja-JP"/>
        </w:rPr>
        <w:t>under federal law and regulations and applicable State and local laws.</w:t>
      </w:r>
    </w:p>
    <w:p w14:paraId="4CF257C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And, even if something is authorized, or allowable, you want to apply as a final task the sniff test. How would you feel if this expenditure were reported in the local newspaper or another media outlet? Sometimes what's allowable may not be something that you would want to use federal funds for. So, always consider the spirit, or intent, of the law.</w:t>
      </w:r>
    </w:p>
    <w:p w14:paraId="081DE9B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Allowable costs must also be adequately documented.</w:t>
      </w:r>
    </w:p>
    <w:p w14:paraId="7E9B364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When it comes to personnel expenses, documentation is critical </w:t>
      </w:r>
      <w:proofErr w:type="gramStart"/>
      <w:r w:rsidRPr="00944CCC">
        <w:rPr>
          <w:rFonts w:ascii="Open Sans" w:hAnsi="Open Sans" w:cs="Open Sans"/>
          <w:lang w:eastAsia="ja-JP"/>
        </w:rPr>
        <w:t>in order to</w:t>
      </w:r>
      <w:proofErr w:type="gramEnd"/>
      <w:r w:rsidRPr="00944CCC">
        <w:rPr>
          <w:rFonts w:ascii="Open Sans" w:hAnsi="Open Sans" w:cs="Open Sans"/>
          <w:lang w:eastAsia="ja-JP"/>
        </w:rPr>
        <w:t>:</w:t>
      </w:r>
    </w:p>
    <w:p w14:paraId="237EB2EA" w14:textId="77777777" w:rsidR="00660262" w:rsidRPr="00944CCC" w:rsidRDefault="00660262" w:rsidP="0056051A">
      <w:pPr>
        <w:pStyle w:val="ListParagraph"/>
        <w:numPr>
          <w:ilvl w:val="1"/>
          <w:numId w:val="31"/>
        </w:numPr>
        <w:rPr>
          <w:rFonts w:ascii="Open Sans" w:hAnsi="Open Sans" w:cs="Open Sans"/>
          <w:lang w:eastAsia="ja-JP"/>
        </w:rPr>
      </w:pPr>
      <w:r w:rsidRPr="00944CCC">
        <w:rPr>
          <w:rFonts w:ascii="Open Sans" w:hAnsi="Open Sans" w:cs="Open Sans"/>
          <w:lang w:eastAsia="ja-JP"/>
        </w:rPr>
        <w:t>Demonstrate that the adult education program is receiving the benefit of the services supported by AEFLA funds, and</w:t>
      </w:r>
    </w:p>
    <w:p w14:paraId="4EA28290" w14:textId="77777777" w:rsidR="00660262" w:rsidRPr="00944CCC" w:rsidRDefault="00660262" w:rsidP="0056051A">
      <w:pPr>
        <w:pStyle w:val="ListParagraph"/>
        <w:numPr>
          <w:ilvl w:val="1"/>
          <w:numId w:val="31"/>
        </w:numPr>
        <w:rPr>
          <w:rFonts w:ascii="Open Sans" w:hAnsi="Open Sans" w:cs="Open Sans"/>
          <w:lang w:eastAsia="ja-JP"/>
        </w:rPr>
      </w:pPr>
      <w:r w:rsidRPr="00944CCC">
        <w:rPr>
          <w:rFonts w:ascii="Open Sans" w:hAnsi="Open Sans" w:cs="Open Sans"/>
          <w:lang w:eastAsia="ja-JP"/>
        </w:rPr>
        <w:lastRenderedPageBreak/>
        <w:t>To verify the actual time spent on the program</w:t>
      </w:r>
    </w:p>
    <w:p w14:paraId="4B77BA0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OMB’s Uniform Guidance lays out standards for the documentation of personnel expenses. Two points that are of particular interest are highlighted here. First, records should be supported by a system of internal controls that provide reasonable assurance that the charges were accurate, allowable, and properly allocated. And second, salaries and benefits that are covered by non-federal funds and claimed as match are recorded.</w:t>
      </w:r>
    </w:p>
    <w:p w14:paraId="4B29B2EE" w14:textId="77777777" w:rsidR="00660262" w:rsidRPr="00944CCC" w:rsidRDefault="00660262" w:rsidP="00944CCC">
      <w:pPr>
        <w:pStyle w:val="Heading3"/>
      </w:pPr>
      <w:bookmarkStart w:id="193" w:name="_Toc171600538"/>
      <w:r w:rsidRPr="00944CCC">
        <w:t>Budget Monitoring</w:t>
      </w:r>
      <w:bookmarkEnd w:id="193"/>
    </w:p>
    <w:p w14:paraId="19C23A5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Another essential component of fiscal responsibility is budget monitoring. States must compare actual expenditures to the budget at least monthly to ensure that:</w:t>
      </w:r>
    </w:p>
    <w:p w14:paraId="4B45DCD3" w14:textId="77777777" w:rsidR="00660262" w:rsidRPr="00944CCC" w:rsidRDefault="00660262" w:rsidP="0056051A">
      <w:pPr>
        <w:pStyle w:val="ListParagraph"/>
        <w:numPr>
          <w:ilvl w:val="0"/>
          <w:numId w:val="56"/>
        </w:numPr>
        <w:rPr>
          <w:rFonts w:ascii="Open Sans" w:hAnsi="Open Sans" w:cs="Open Sans"/>
          <w:lang w:eastAsia="ja-JP"/>
        </w:rPr>
      </w:pPr>
      <w:r w:rsidRPr="00944CCC">
        <w:rPr>
          <w:rFonts w:ascii="Open Sans" w:hAnsi="Open Sans" w:cs="Open Sans"/>
          <w:lang w:eastAsia="ja-JP"/>
        </w:rPr>
        <w:t>Funds are being used appropriately</w:t>
      </w:r>
    </w:p>
    <w:p w14:paraId="523558BA" w14:textId="77777777" w:rsidR="00660262" w:rsidRPr="00944CCC" w:rsidRDefault="00660262" w:rsidP="0056051A">
      <w:pPr>
        <w:pStyle w:val="ListParagraph"/>
        <w:numPr>
          <w:ilvl w:val="0"/>
          <w:numId w:val="56"/>
        </w:numPr>
        <w:rPr>
          <w:rFonts w:ascii="Open Sans" w:hAnsi="Open Sans" w:cs="Open Sans"/>
          <w:lang w:eastAsia="ja-JP"/>
        </w:rPr>
      </w:pPr>
      <w:r w:rsidRPr="00944CCC">
        <w:rPr>
          <w:rFonts w:ascii="Open Sans" w:hAnsi="Open Sans" w:cs="Open Sans"/>
          <w:lang w:eastAsia="ja-JP"/>
        </w:rPr>
        <w:t>That the State has not exceeded caps for any AEFLA cost category such as State administration or State leadership, and</w:t>
      </w:r>
    </w:p>
    <w:p w14:paraId="6399BBBF" w14:textId="77777777" w:rsidR="00660262" w:rsidRPr="00944CCC" w:rsidRDefault="00660262" w:rsidP="0056051A">
      <w:pPr>
        <w:pStyle w:val="ListParagraph"/>
        <w:numPr>
          <w:ilvl w:val="0"/>
          <w:numId w:val="56"/>
        </w:numPr>
        <w:rPr>
          <w:rFonts w:ascii="Open Sans" w:hAnsi="Open Sans" w:cs="Open Sans"/>
          <w:lang w:eastAsia="ja-JP"/>
        </w:rPr>
      </w:pPr>
      <w:r w:rsidRPr="00944CCC">
        <w:rPr>
          <w:rFonts w:ascii="Open Sans" w:hAnsi="Open Sans" w:cs="Open Sans"/>
          <w:lang w:eastAsia="ja-JP"/>
        </w:rPr>
        <w:t>That minimum expenditures for instructional activities have been met</w:t>
      </w:r>
    </w:p>
    <w:p w14:paraId="1BC488F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comparing actual expenditures to the budget, States also should check that:</w:t>
      </w:r>
    </w:p>
    <w:p w14:paraId="5DC7723A" w14:textId="77777777" w:rsidR="00660262" w:rsidRPr="00944CCC" w:rsidRDefault="00660262" w:rsidP="0056051A">
      <w:pPr>
        <w:pStyle w:val="ListParagraph"/>
        <w:numPr>
          <w:ilvl w:val="0"/>
          <w:numId w:val="57"/>
        </w:numPr>
        <w:rPr>
          <w:rFonts w:ascii="Open Sans" w:hAnsi="Open Sans" w:cs="Open Sans"/>
          <w:lang w:eastAsia="ja-JP"/>
        </w:rPr>
      </w:pPr>
      <w:r w:rsidRPr="00944CCC">
        <w:rPr>
          <w:rFonts w:ascii="Open Sans" w:hAnsi="Open Sans" w:cs="Open Sans"/>
          <w:lang w:eastAsia="ja-JP"/>
        </w:rPr>
        <w:t>Actual expenses are reasonable, allocable, allowable, and consistently charged</w:t>
      </w:r>
    </w:p>
    <w:p w14:paraId="4775F6A2" w14:textId="77777777" w:rsidR="00660262" w:rsidRPr="00944CCC" w:rsidRDefault="00660262" w:rsidP="0056051A">
      <w:pPr>
        <w:pStyle w:val="ListParagraph"/>
        <w:numPr>
          <w:ilvl w:val="0"/>
          <w:numId w:val="57"/>
        </w:numPr>
        <w:rPr>
          <w:rFonts w:ascii="Open Sans" w:hAnsi="Open Sans" w:cs="Open Sans"/>
          <w:lang w:eastAsia="ja-JP"/>
        </w:rPr>
      </w:pPr>
      <w:r w:rsidRPr="00944CCC">
        <w:rPr>
          <w:rFonts w:ascii="Open Sans" w:hAnsi="Open Sans" w:cs="Open Sans"/>
          <w:lang w:eastAsia="ja-JP"/>
        </w:rPr>
        <w:t>That mischarges are corrected</w:t>
      </w:r>
    </w:p>
    <w:p w14:paraId="13837D58" w14:textId="77777777" w:rsidR="00660262" w:rsidRPr="00944CCC" w:rsidRDefault="00660262" w:rsidP="0056051A">
      <w:pPr>
        <w:pStyle w:val="ListParagraph"/>
        <w:numPr>
          <w:ilvl w:val="0"/>
          <w:numId w:val="57"/>
        </w:numPr>
        <w:rPr>
          <w:rFonts w:ascii="Open Sans" w:hAnsi="Open Sans" w:cs="Open Sans"/>
          <w:lang w:eastAsia="ja-JP"/>
        </w:rPr>
      </w:pPr>
      <w:r w:rsidRPr="00944CCC">
        <w:rPr>
          <w:rFonts w:ascii="Open Sans" w:hAnsi="Open Sans" w:cs="Open Sans"/>
          <w:lang w:eastAsia="ja-JP"/>
        </w:rPr>
        <w:t>That necessary prior approvals for expenditures are in place, and</w:t>
      </w:r>
    </w:p>
    <w:p w14:paraId="366C604D" w14:textId="77777777" w:rsidR="00660262" w:rsidRPr="00944CCC" w:rsidRDefault="00660262" w:rsidP="0056051A">
      <w:pPr>
        <w:pStyle w:val="ListParagraph"/>
        <w:numPr>
          <w:ilvl w:val="0"/>
          <w:numId w:val="57"/>
        </w:numPr>
        <w:rPr>
          <w:rFonts w:ascii="Open Sans" w:hAnsi="Open Sans" w:cs="Open Sans"/>
          <w:lang w:eastAsia="ja-JP"/>
        </w:rPr>
      </w:pPr>
      <w:r w:rsidRPr="00944CCC">
        <w:rPr>
          <w:rFonts w:ascii="Open Sans" w:hAnsi="Open Sans" w:cs="Open Sans"/>
          <w:lang w:eastAsia="ja-JP"/>
        </w:rPr>
        <w:t>Finally, that subrecipient expenses are being monitored</w:t>
      </w:r>
    </w:p>
    <w:p w14:paraId="76B740D0" w14:textId="77777777" w:rsidR="00660262" w:rsidRPr="00944CCC" w:rsidRDefault="00660262" w:rsidP="0056051A">
      <w:pPr>
        <w:rPr>
          <w:rFonts w:ascii="Open Sans" w:hAnsi="Open Sans" w:cs="Open Sans"/>
          <w:lang w:eastAsia="ja-JP"/>
        </w:rPr>
      </w:pPr>
      <w:proofErr w:type="gramStart"/>
      <w:r w:rsidRPr="00944CCC">
        <w:rPr>
          <w:rFonts w:ascii="Open Sans" w:hAnsi="Open Sans" w:cs="Open Sans"/>
          <w:lang w:eastAsia="ja-JP"/>
        </w:rPr>
        <w:t>With regard to</w:t>
      </w:r>
      <w:proofErr w:type="gramEnd"/>
      <w:r w:rsidRPr="00944CCC">
        <w:rPr>
          <w:rFonts w:ascii="Open Sans" w:hAnsi="Open Sans" w:cs="Open Sans"/>
          <w:lang w:eastAsia="ja-JP"/>
        </w:rPr>
        <w:t xml:space="preserve"> subrecipient monitoring, the State is responsible for ensuring that</w:t>
      </w:r>
      <w:r w:rsidRPr="00944CCC">
        <w:rPr>
          <w:rFonts w:ascii="Open Sans" w:hAnsi="Open Sans" w:cs="Open Sans"/>
          <w:b/>
          <w:bCs/>
          <w:lang w:eastAsia="ja-JP"/>
        </w:rPr>
        <w:t xml:space="preserve">: </w:t>
      </w:r>
    </w:p>
    <w:p w14:paraId="6F3E5968" w14:textId="77777777" w:rsidR="00660262" w:rsidRPr="00944CCC" w:rsidRDefault="00660262" w:rsidP="0056051A">
      <w:pPr>
        <w:pStyle w:val="ListParagraph"/>
        <w:numPr>
          <w:ilvl w:val="0"/>
          <w:numId w:val="58"/>
        </w:numPr>
        <w:rPr>
          <w:rFonts w:ascii="Open Sans" w:hAnsi="Open Sans" w:cs="Open Sans"/>
          <w:lang w:eastAsia="ja-JP"/>
        </w:rPr>
      </w:pPr>
      <w:r w:rsidRPr="00944CCC">
        <w:rPr>
          <w:rFonts w:ascii="Open Sans" w:hAnsi="Open Sans" w:cs="Open Sans"/>
          <w:lang w:eastAsia="ja-JP"/>
        </w:rPr>
        <w:t>All subrecipients are aware of provisions and requirements</w:t>
      </w:r>
    </w:p>
    <w:p w14:paraId="45F8CFB6" w14:textId="77777777" w:rsidR="00660262" w:rsidRPr="00944CCC" w:rsidRDefault="00660262" w:rsidP="0056051A">
      <w:pPr>
        <w:pStyle w:val="ListParagraph"/>
        <w:numPr>
          <w:ilvl w:val="0"/>
          <w:numId w:val="58"/>
        </w:numPr>
        <w:rPr>
          <w:rFonts w:ascii="Open Sans" w:hAnsi="Open Sans" w:cs="Open Sans"/>
          <w:lang w:eastAsia="ja-JP"/>
        </w:rPr>
      </w:pPr>
      <w:r w:rsidRPr="00944CCC">
        <w:rPr>
          <w:rFonts w:ascii="Open Sans" w:hAnsi="Open Sans" w:cs="Open Sans"/>
          <w:lang w:eastAsia="ja-JP"/>
        </w:rPr>
        <w:t>Expenditures are properly documented</w:t>
      </w:r>
    </w:p>
    <w:p w14:paraId="7545465E" w14:textId="77777777" w:rsidR="00660262" w:rsidRPr="00944CCC" w:rsidRDefault="00660262" w:rsidP="0056051A">
      <w:pPr>
        <w:pStyle w:val="ListParagraph"/>
        <w:numPr>
          <w:ilvl w:val="0"/>
          <w:numId w:val="58"/>
        </w:numPr>
        <w:rPr>
          <w:rFonts w:ascii="Open Sans" w:hAnsi="Open Sans" w:cs="Open Sans"/>
          <w:lang w:eastAsia="ja-JP"/>
        </w:rPr>
      </w:pPr>
      <w:r w:rsidRPr="00944CCC">
        <w:rPr>
          <w:rFonts w:ascii="Open Sans" w:hAnsi="Open Sans" w:cs="Open Sans"/>
          <w:lang w:eastAsia="ja-JP"/>
        </w:rPr>
        <w:t>Financial reports correlate to source documentation, and</w:t>
      </w:r>
    </w:p>
    <w:p w14:paraId="7DA96866" w14:textId="77777777" w:rsidR="00660262" w:rsidRPr="00944CCC" w:rsidRDefault="00660262" w:rsidP="0056051A">
      <w:pPr>
        <w:pStyle w:val="ListParagraph"/>
        <w:numPr>
          <w:ilvl w:val="0"/>
          <w:numId w:val="58"/>
        </w:numPr>
        <w:rPr>
          <w:rFonts w:ascii="Open Sans" w:hAnsi="Open Sans" w:cs="Open Sans"/>
          <w:lang w:eastAsia="ja-JP"/>
        </w:rPr>
      </w:pPr>
      <w:r w:rsidRPr="00944CCC">
        <w:rPr>
          <w:rFonts w:ascii="Open Sans" w:hAnsi="Open Sans" w:cs="Open Sans"/>
          <w:lang w:eastAsia="ja-JP"/>
        </w:rPr>
        <w:t>That any finding or question about costs is resolved properly and in a timely manner</w:t>
      </w:r>
    </w:p>
    <w:p w14:paraId="671712C1" w14:textId="77777777" w:rsidR="00660262" w:rsidRPr="00944CCC" w:rsidRDefault="00660262" w:rsidP="00944CCC">
      <w:pPr>
        <w:pStyle w:val="Heading3"/>
      </w:pPr>
      <w:bookmarkStart w:id="194" w:name="_Toc163980066"/>
      <w:bookmarkStart w:id="195" w:name="_Toc171600539"/>
      <w:r w:rsidRPr="00944CCC">
        <w:t>Summary</w:t>
      </w:r>
      <w:bookmarkEnd w:id="194"/>
      <w:bookmarkEnd w:id="195"/>
    </w:p>
    <w:p w14:paraId="7B37602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this video, we reviewed four important criteria for determining whether costs are allowable. All costs must be reasonable and necessary, allocable, authorized, and adequately documented.</w:t>
      </w:r>
    </w:p>
    <w:p w14:paraId="166FF962" w14:textId="77777777" w:rsidR="005B687F" w:rsidRPr="00944CCC" w:rsidRDefault="00660262" w:rsidP="0056051A">
      <w:pPr>
        <w:rPr>
          <w:rFonts w:ascii="Open Sans" w:hAnsi="Open Sans" w:cs="Open Sans"/>
          <w:lang w:eastAsia="ja-JP"/>
        </w:rPr>
      </w:pPr>
      <w:r w:rsidRPr="00944CCC">
        <w:rPr>
          <w:rFonts w:ascii="Open Sans" w:hAnsi="Open Sans" w:cs="Open Sans"/>
          <w:lang w:eastAsia="ja-JP"/>
        </w:rPr>
        <w:t>Be sure to check out the other videos in this series on fiscal responsibility to learn more about the fiscal requirements for managing your AEFLA grant.</w:t>
      </w:r>
    </w:p>
    <w:p w14:paraId="60BECFFC" w14:textId="77777777" w:rsidR="005B687F" w:rsidRPr="00944CCC" w:rsidRDefault="005B687F" w:rsidP="0056051A">
      <w:pPr>
        <w:rPr>
          <w:rFonts w:ascii="Open Sans" w:hAnsi="Open Sans" w:cs="Open Sans"/>
          <w:lang w:eastAsia="ja-JP"/>
        </w:rPr>
      </w:pPr>
      <w:r w:rsidRPr="00944CCC">
        <w:rPr>
          <w:rFonts w:ascii="Open Sans" w:hAnsi="Open Sans" w:cs="Open Sans"/>
          <w:lang w:eastAsia="ja-JP"/>
        </w:rPr>
        <w:br w:type="page"/>
      </w:r>
    </w:p>
    <w:p w14:paraId="133DD6E8" w14:textId="77777777" w:rsidR="00660262" w:rsidRPr="00944CCC" w:rsidRDefault="00660262" w:rsidP="0056051A">
      <w:pPr>
        <w:pStyle w:val="Heading2"/>
        <w:rPr>
          <w:rFonts w:ascii="Open Sans" w:hAnsi="Open Sans" w:cs="Open Sans"/>
          <w:color w:val="032E53"/>
        </w:rPr>
      </w:pPr>
      <w:bookmarkStart w:id="196" w:name="_The_AEFLA_Grant"/>
      <w:bookmarkStart w:id="197" w:name="_Toc163980067"/>
      <w:bookmarkStart w:id="198" w:name="_Toc171600540"/>
      <w:bookmarkEnd w:id="196"/>
      <w:r w:rsidRPr="00944CCC">
        <w:rPr>
          <w:rFonts w:ascii="Open Sans" w:hAnsi="Open Sans" w:cs="Open Sans"/>
          <w:color w:val="032E53"/>
        </w:rPr>
        <w:lastRenderedPageBreak/>
        <w:t>The AEFLA Grant Timeline</w:t>
      </w:r>
      <w:bookmarkEnd w:id="197"/>
      <w:bookmarkEnd w:id="198"/>
    </w:p>
    <w:p w14:paraId="466A4C6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this video, we’ll go over the timeline for grant obligations, liquidations, and financial reporting. It’s important to review this timeline to be aware of important program deadlines.</w:t>
      </w:r>
    </w:p>
    <w:p w14:paraId="77013E1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On July 1</w:t>
      </w:r>
      <w:r w:rsidRPr="00944CCC">
        <w:rPr>
          <w:rFonts w:ascii="Open Sans" w:hAnsi="Open Sans" w:cs="Open Sans"/>
          <w:vertAlign w:val="superscript"/>
          <w:lang w:eastAsia="ja-JP"/>
        </w:rPr>
        <w:t>st</w:t>
      </w:r>
      <w:r w:rsidRPr="00944CCC">
        <w:rPr>
          <w:rFonts w:ascii="Open Sans" w:hAnsi="Open Sans" w:cs="Open Sans"/>
          <w:lang w:eastAsia="ja-JP"/>
        </w:rPr>
        <w:t xml:space="preserve"> of each year, OCTAE issues the AEFLA formula grant awards for the program year to all States and outlying areas. The initial period for obligating the federal grant funds covers 15 months. The term “obligate” in this context means to commit funds for goods or services.</w:t>
      </w:r>
    </w:p>
    <w:p w14:paraId="05B7E72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status of grant expenditures for the first 15-month obligation period is reported on the initial federal financial report, or FFR, which is due each year on December 31</w:t>
      </w:r>
      <w:r w:rsidRPr="00944CCC">
        <w:rPr>
          <w:rFonts w:ascii="Open Sans" w:hAnsi="Open Sans" w:cs="Open Sans"/>
          <w:vertAlign w:val="superscript"/>
          <w:lang w:eastAsia="ja-JP"/>
        </w:rPr>
        <w:t>st</w:t>
      </w:r>
      <w:r w:rsidRPr="00944CCC">
        <w:rPr>
          <w:rFonts w:ascii="Open Sans" w:hAnsi="Open Sans" w:cs="Open Sans"/>
          <w:lang w:eastAsia="ja-JP"/>
        </w:rPr>
        <w:t>.</w:t>
      </w:r>
    </w:p>
    <w:p w14:paraId="7B2C75B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After the first 15-month period, grantees have an additional 12 months to obligate any remaining grant funds. Grantees have 120 days after the end of the 27-month grant obligation period to liquidate all obligations. The term “liquidate” in this context means to use grant funds to pay for outstanding obligations.</w:t>
      </w:r>
    </w:p>
    <w:p w14:paraId="73AC316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full 27-month grant obligation period is reported on the final FFR which is due each year on January 28</w:t>
      </w:r>
      <w:r w:rsidRPr="00944CCC">
        <w:rPr>
          <w:rFonts w:ascii="Open Sans" w:hAnsi="Open Sans" w:cs="Open Sans"/>
          <w:vertAlign w:val="superscript"/>
          <w:lang w:eastAsia="ja-JP"/>
        </w:rPr>
        <w:t>th</w:t>
      </w:r>
      <w:r w:rsidRPr="00944CCC">
        <w:rPr>
          <w:rFonts w:ascii="Open Sans" w:hAnsi="Open Sans" w:cs="Open Sans"/>
          <w:lang w:eastAsia="ja-JP"/>
        </w:rPr>
        <w:t>. The end of the liquidation period and the due date of the final FFR and recipient share detail coincide on January 28th. If the due date for any report falls on a weekend or holiday, the due date shifts to the next business day.</w:t>
      </w:r>
    </w:p>
    <w:p w14:paraId="2FEF8965" w14:textId="77777777" w:rsidR="005B687F" w:rsidRPr="00944CCC" w:rsidRDefault="00660262" w:rsidP="0056051A">
      <w:pPr>
        <w:rPr>
          <w:rFonts w:ascii="Open Sans" w:hAnsi="Open Sans" w:cs="Open Sans"/>
          <w:lang w:eastAsia="ja-JP"/>
        </w:rPr>
      </w:pPr>
      <w:r w:rsidRPr="00944CCC">
        <w:rPr>
          <w:rFonts w:ascii="Open Sans" w:hAnsi="Open Sans" w:cs="Open Sans"/>
          <w:lang w:eastAsia="ja-JP"/>
        </w:rPr>
        <w:t xml:space="preserve">Each year, OCTAE conducts information sessions to help States complete and file their initial and final FFRs online in the National Reporting System. In addition, OCTAE offers individual technical assistance to all States and outlying areas for questions regarding grant management and reporting. If you have any questions, please send an email to </w:t>
      </w:r>
      <w:hyperlink r:id="rId10" w:history="1">
        <w:r w:rsidRPr="00944CCC">
          <w:rPr>
            <w:rFonts w:ascii="Open Sans" w:hAnsi="Open Sans" w:cs="Open Sans"/>
            <w:lang w:eastAsia="ja-JP"/>
          </w:rPr>
          <w:t>NRS@ed.gov</w:t>
        </w:r>
      </w:hyperlink>
      <w:r w:rsidRPr="00944CCC">
        <w:rPr>
          <w:rFonts w:ascii="Open Sans" w:hAnsi="Open Sans" w:cs="Open Sans"/>
          <w:lang w:eastAsia="ja-JP"/>
        </w:rPr>
        <w:t>. We’re happy to help!</w:t>
      </w:r>
    </w:p>
    <w:p w14:paraId="1376A6DC" w14:textId="77777777" w:rsidR="005B687F" w:rsidRPr="00944CCC" w:rsidRDefault="005B687F" w:rsidP="0056051A">
      <w:pPr>
        <w:rPr>
          <w:rFonts w:ascii="Open Sans" w:hAnsi="Open Sans" w:cs="Open Sans"/>
          <w:lang w:eastAsia="ja-JP"/>
        </w:rPr>
      </w:pPr>
      <w:r w:rsidRPr="00944CCC">
        <w:rPr>
          <w:rFonts w:ascii="Open Sans" w:hAnsi="Open Sans" w:cs="Open Sans"/>
          <w:lang w:eastAsia="ja-JP"/>
        </w:rPr>
        <w:br w:type="page"/>
      </w:r>
    </w:p>
    <w:p w14:paraId="49EBFE1E" w14:textId="77777777" w:rsidR="00660262" w:rsidRPr="00944CCC" w:rsidRDefault="00660262" w:rsidP="0056051A">
      <w:pPr>
        <w:pStyle w:val="Heading2"/>
        <w:rPr>
          <w:rFonts w:ascii="Open Sans" w:hAnsi="Open Sans" w:cs="Open Sans"/>
          <w:color w:val="032E53"/>
        </w:rPr>
      </w:pPr>
      <w:bookmarkStart w:id="199" w:name="_Introduction_and_History"/>
      <w:bookmarkStart w:id="200" w:name="_Toc163980068"/>
      <w:bookmarkStart w:id="201" w:name="_Toc171600541"/>
      <w:bookmarkEnd w:id="199"/>
      <w:r w:rsidRPr="00944CCC">
        <w:rPr>
          <w:rFonts w:ascii="Open Sans" w:hAnsi="Open Sans" w:cs="Open Sans"/>
          <w:color w:val="032E53"/>
        </w:rPr>
        <w:lastRenderedPageBreak/>
        <w:t>Introduction and History</w:t>
      </w:r>
      <w:bookmarkEnd w:id="200"/>
      <w:bookmarkEnd w:id="201"/>
    </w:p>
    <w:p w14:paraId="7D80A79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 national accountability system is critical for demonstrating program effectiveness to taxpayers, education and workforce development stakeholders, and federal oversight bodies.</w:t>
      </w:r>
    </w:p>
    <w:p w14:paraId="4BA9BB1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this video, we will introduce you to the National Reporting System for Adult Education, known as the NRS and give you an overview of how it came to be. This video is part of a series of videos that will help you understand how the National Reporting System works. By the end of these videos, you will better understand:</w:t>
      </w:r>
    </w:p>
    <w:p w14:paraId="497A875E" w14:textId="77777777" w:rsidR="00660262" w:rsidRPr="00944CCC" w:rsidRDefault="00660262" w:rsidP="0056051A">
      <w:pPr>
        <w:pStyle w:val="ListParagraph"/>
        <w:numPr>
          <w:ilvl w:val="0"/>
          <w:numId w:val="59"/>
        </w:numPr>
        <w:rPr>
          <w:rFonts w:ascii="Open Sans" w:hAnsi="Open Sans" w:cs="Open Sans"/>
          <w:lang w:eastAsia="ja-JP"/>
        </w:rPr>
      </w:pPr>
      <w:r w:rsidRPr="00944CCC">
        <w:rPr>
          <w:rFonts w:ascii="Open Sans" w:hAnsi="Open Sans" w:cs="Open Sans"/>
          <w:lang w:eastAsia="ja-JP"/>
        </w:rPr>
        <w:t>The history of the NRS</w:t>
      </w:r>
    </w:p>
    <w:p w14:paraId="7CA7F537" w14:textId="77777777" w:rsidR="00660262" w:rsidRPr="00944CCC" w:rsidRDefault="00660262" w:rsidP="0056051A">
      <w:pPr>
        <w:pStyle w:val="ListParagraph"/>
        <w:numPr>
          <w:ilvl w:val="0"/>
          <w:numId w:val="59"/>
        </w:numPr>
        <w:rPr>
          <w:rFonts w:ascii="Open Sans" w:hAnsi="Open Sans" w:cs="Open Sans"/>
          <w:lang w:eastAsia="ja-JP"/>
        </w:rPr>
      </w:pPr>
      <w:r w:rsidRPr="00944CCC">
        <w:rPr>
          <w:rFonts w:ascii="Open Sans" w:hAnsi="Open Sans" w:cs="Open Sans"/>
          <w:lang w:eastAsia="ja-JP"/>
        </w:rPr>
        <w:t>How the NRS collects and maintains data, and</w:t>
      </w:r>
    </w:p>
    <w:p w14:paraId="5277378A" w14:textId="77777777" w:rsidR="00660262" w:rsidRPr="00944CCC" w:rsidRDefault="00660262" w:rsidP="0056051A">
      <w:pPr>
        <w:pStyle w:val="ListParagraph"/>
        <w:numPr>
          <w:ilvl w:val="0"/>
          <w:numId w:val="59"/>
        </w:numPr>
        <w:rPr>
          <w:rFonts w:ascii="Open Sans" w:hAnsi="Open Sans" w:cs="Open Sans"/>
          <w:lang w:eastAsia="ja-JP"/>
        </w:rPr>
      </w:pPr>
      <w:r w:rsidRPr="00944CCC">
        <w:rPr>
          <w:rFonts w:ascii="Open Sans" w:hAnsi="Open Sans" w:cs="Open Sans"/>
          <w:lang w:eastAsia="ja-JP"/>
        </w:rPr>
        <w:t>The performance accountability requirements that come from the Workforce Innovation and Opportunity Act, or WIOA.</w:t>
      </w:r>
    </w:p>
    <w:p w14:paraId="429A8D0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Your main resource for additional information on the NRS will be the NRS Technical Assistance website. You can find this website and other helpful resources in the Playbook, so be sure to check that out.</w:t>
      </w:r>
    </w:p>
    <w:p w14:paraId="3E208ACD" w14:textId="77777777" w:rsidR="00660262" w:rsidRPr="00944CCC" w:rsidRDefault="00660262" w:rsidP="00944CCC">
      <w:pPr>
        <w:pStyle w:val="Heading3"/>
      </w:pPr>
      <w:bookmarkStart w:id="202" w:name="_Toc163980069"/>
      <w:bookmarkStart w:id="203" w:name="_Toc171600542"/>
      <w:r w:rsidRPr="00944CCC">
        <w:t>Requirements of a National Reporting System</w:t>
      </w:r>
      <w:bookmarkEnd w:id="202"/>
      <w:bookmarkEnd w:id="203"/>
    </w:p>
    <w:p w14:paraId="0179A4B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Before we get into some of the history behind the National Reporting System for Adult Education, let’s look at some of the requirements that a system like this would need to satisfy. There are </w:t>
      </w:r>
      <w:proofErr w:type="gramStart"/>
      <w:r w:rsidRPr="00944CCC">
        <w:rPr>
          <w:rFonts w:ascii="Open Sans" w:hAnsi="Open Sans" w:cs="Open Sans"/>
          <w:lang w:eastAsia="ja-JP"/>
        </w:rPr>
        <w:t>a number of</w:t>
      </w:r>
      <w:proofErr w:type="gramEnd"/>
      <w:r w:rsidRPr="00944CCC">
        <w:rPr>
          <w:rFonts w:ascii="Open Sans" w:hAnsi="Open Sans" w:cs="Open Sans"/>
          <w:lang w:eastAsia="ja-JP"/>
        </w:rPr>
        <w:t xml:space="preserve"> guiding principles for developing a sound performance accountability system, whether it be at the State or national level. </w:t>
      </w:r>
    </w:p>
    <w:p w14:paraId="32B14DA3" w14:textId="77777777" w:rsidR="00660262" w:rsidRPr="00944CCC" w:rsidRDefault="00660262" w:rsidP="0056051A">
      <w:pPr>
        <w:pStyle w:val="ListParagraph"/>
        <w:numPr>
          <w:ilvl w:val="0"/>
          <w:numId w:val="60"/>
        </w:numPr>
        <w:rPr>
          <w:rFonts w:ascii="Open Sans" w:hAnsi="Open Sans" w:cs="Open Sans"/>
          <w:lang w:eastAsia="ja-JP"/>
        </w:rPr>
      </w:pPr>
      <w:r w:rsidRPr="00944CCC">
        <w:rPr>
          <w:rFonts w:ascii="Open Sans" w:hAnsi="Open Sans" w:cs="Open Sans"/>
          <w:lang w:eastAsia="ja-JP"/>
        </w:rPr>
        <w:t>First, a national system must meet statutory accountability requirements.</w:t>
      </w:r>
    </w:p>
    <w:p w14:paraId="56FC266E" w14:textId="77777777" w:rsidR="00660262" w:rsidRPr="00944CCC" w:rsidRDefault="00660262" w:rsidP="0056051A">
      <w:pPr>
        <w:pStyle w:val="ListParagraph"/>
        <w:numPr>
          <w:ilvl w:val="0"/>
          <w:numId w:val="60"/>
        </w:numPr>
        <w:rPr>
          <w:rFonts w:ascii="Open Sans" w:hAnsi="Open Sans" w:cs="Open Sans"/>
          <w:lang w:eastAsia="ja-JP"/>
        </w:rPr>
      </w:pPr>
      <w:r w:rsidRPr="00944CCC">
        <w:rPr>
          <w:rFonts w:ascii="Open Sans" w:hAnsi="Open Sans" w:cs="Open Sans"/>
          <w:lang w:eastAsia="ja-JP"/>
        </w:rPr>
        <w:t>It must also be built on measurable and objective indicators that can be used to assess and compare performance across States and within States across local programs.</w:t>
      </w:r>
    </w:p>
    <w:p w14:paraId="225B227E" w14:textId="77777777" w:rsidR="00660262" w:rsidRPr="00944CCC" w:rsidRDefault="00660262" w:rsidP="0056051A">
      <w:pPr>
        <w:pStyle w:val="ListParagraph"/>
        <w:numPr>
          <w:ilvl w:val="0"/>
          <w:numId w:val="61"/>
        </w:numPr>
        <w:rPr>
          <w:rFonts w:ascii="Open Sans" w:hAnsi="Open Sans" w:cs="Open Sans"/>
          <w:lang w:eastAsia="ja-JP"/>
        </w:rPr>
      </w:pPr>
      <w:r w:rsidRPr="00944CCC">
        <w:rPr>
          <w:rFonts w:ascii="Open Sans" w:hAnsi="Open Sans" w:cs="Open Sans"/>
          <w:lang w:eastAsia="ja-JP"/>
        </w:rPr>
        <w:t>The system must ensure State and local control and flexibility to meet learner needs.</w:t>
      </w:r>
    </w:p>
    <w:p w14:paraId="1D46F35F" w14:textId="77777777" w:rsidR="00660262" w:rsidRPr="00944CCC" w:rsidRDefault="00660262" w:rsidP="0056051A">
      <w:pPr>
        <w:pStyle w:val="ListParagraph"/>
        <w:numPr>
          <w:ilvl w:val="0"/>
          <w:numId w:val="61"/>
        </w:numPr>
        <w:rPr>
          <w:rFonts w:ascii="Open Sans" w:hAnsi="Open Sans" w:cs="Open Sans"/>
          <w:lang w:eastAsia="ja-JP"/>
        </w:rPr>
      </w:pPr>
      <w:r w:rsidRPr="00944CCC">
        <w:rPr>
          <w:rFonts w:ascii="Open Sans" w:hAnsi="Open Sans" w:cs="Open Sans"/>
          <w:lang w:eastAsia="ja-JP"/>
        </w:rPr>
        <w:t>The system must be designed to minimize data collection and reporting burden on States and local providers.</w:t>
      </w:r>
    </w:p>
    <w:p w14:paraId="45F354CF" w14:textId="77777777" w:rsidR="00660262" w:rsidRPr="00944CCC" w:rsidRDefault="00660262" w:rsidP="0056051A">
      <w:pPr>
        <w:pStyle w:val="ListParagraph"/>
        <w:numPr>
          <w:ilvl w:val="0"/>
          <w:numId w:val="61"/>
        </w:numPr>
        <w:rPr>
          <w:rFonts w:ascii="Open Sans" w:hAnsi="Open Sans" w:cs="Open Sans"/>
          <w:lang w:eastAsia="ja-JP"/>
        </w:rPr>
      </w:pPr>
      <w:r w:rsidRPr="00944CCC">
        <w:rPr>
          <w:rFonts w:ascii="Open Sans" w:hAnsi="Open Sans" w:cs="Open Sans"/>
          <w:lang w:eastAsia="ja-JP"/>
        </w:rPr>
        <w:t>It must also define and facilitate the implementation of a data collection and analysis methodology that produces valid and reliable data.</w:t>
      </w:r>
    </w:p>
    <w:p w14:paraId="2309661D" w14:textId="77777777" w:rsidR="00660262" w:rsidRPr="00944CCC" w:rsidRDefault="00660262" w:rsidP="0056051A">
      <w:pPr>
        <w:pStyle w:val="ListParagraph"/>
        <w:numPr>
          <w:ilvl w:val="0"/>
          <w:numId w:val="61"/>
        </w:numPr>
        <w:rPr>
          <w:rFonts w:ascii="Open Sans" w:hAnsi="Open Sans" w:cs="Open Sans"/>
          <w:lang w:eastAsia="ja-JP"/>
        </w:rPr>
      </w:pPr>
      <w:r w:rsidRPr="00944CCC">
        <w:rPr>
          <w:rFonts w:ascii="Open Sans" w:hAnsi="Open Sans" w:cs="Open Sans"/>
          <w:lang w:eastAsia="ja-JP"/>
        </w:rPr>
        <w:t>The accountability system must define common terms and procedures across WIOA partner programs.</w:t>
      </w:r>
    </w:p>
    <w:p w14:paraId="3A9F2301" w14:textId="77777777" w:rsidR="00660262" w:rsidRPr="00944CCC" w:rsidRDefault="00660262" w:rsidP="0056051A">
      <w:pPr>
        <w:pStyle w:val="ListParagraph"/>
        <w:numPr>
          <w:ilvl w:val="0"/>
          <w:numId w:val="61"/>
        </w:numPr>
        <w:rPr>
          <w:rFonts w:ascii="Open Sans" w:hAnsi="Open Sans" w:cs="Open Sans"/>
          <w:lang w:eastAsia="ja-JP"/>
        </w:rPr>
      </w:pPr>
      <w:r w:rsidRPr="00944CCC">
        <w:rPr>
          <w:rFonts w:ascii="Open Sans" w:hAnsi="Open Sans" w:cs="Open Sans"/>
          <w:lang w:eastAsia="ja-JP"/>
        </w:rPr>
        <w:t>And lastly, the system needs to have early and consistent input from stakeholders.</w:t>
      </w:r>
    </w:p>
    <w:p w14:paraId="060EA73F" w14:textId="77777777" w:rsidR="00660262" w:rsidRPr="00944CCC" w:rsidRDefault="00660262" w:rsidP="00944CCC">
      <w:pPr>
        <w:pStyle w:val="Heading3"/>
      </w:pPr>
      <w:bookmarkStart w:id="204" w:name="_Toc163980070"/>
      <w:bookmarkStart w:id="205" w:name="_Toc171600543"/>
      <w:r w:rsidRPr="00944CCC">
        <w:lastRenderedPageBreak/>
        <w:t>History of the NRS</w:t>
      </w:r>
      <w:bookmarkEnd w:id="204"/>
      <w:bookmarkEnd w:id="205"/>
    </w:p>
    <w:p w14:paraId="7B32D31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Ok, so given those guiding principles, now let’s </w:t>
      </w:r>
      <w:proofErr w:type="gramStart"/>
      <w:r w:rsidRPr="00944CCC">
        <w:rPr>
          <w:rFonts w:ascii="Open Sans" w:hAnsi="Open Sans" w:cs="Open Sans"/>
          <w:lang w:eastAsia="ja-JP"/>
        </w:rPr>
        <w:t>take a look</w:t>
      </w:r>
      <w:proofErr w:type="gramEnd"/>
      <w:r w:rsidRPr="00944CCC">
        <w:rPr>
          <w:rFonts w:ascii="Open Sans" w:hAnsi="Open Sans" w:cs="Open Sans"/>
          <w:lang w:eastAsia="ja-JP"/>
        </w:rPr>
        <w:t xml:space="preserve"> at how the National Reporting System came to be. It is important for State and local adult education staff to understand how the National Reporting System was developed and the rationale for its methodology, so they can engage in more informed dialog with their stakeholders about the basis for the requirements of program performance measures and explain program outcome data to their oversight bodies.</w:t>
      </w:r>
    </w:p>
    <w:p w14:paraId="67D9ADF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Government Performance and Results Act, otherwise known as GPRA, was enacted in 1993. GPRA requires federal programs to establish performance targets and report outcome data to the Office of Management and Budget every year. The annual data that States submit to the Office of Career, Technical, and Adult Education, or OCTAE, are used to fulfill this requirement.</w:t>
      </w:r>
    </w:p>
    <w:p w14:paraId="24F4B46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1996 and 1997, OCTAE worked collaboratively with State directors of adult education and a broad array of stakeholders to develop and validate a national accountability framework.</w:t>
      </w:r>
    </w:p>
    <w:p w14:paraId="5ABA9A8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1998, the Workforce Investment Act was enacted requiring a national accountability system for adult education. OCTAE was poised to respond to this new requirement because of the work emanating from our collaboration with State directors during the two years prior. </w:t>
      </w:r>
    </w:p>
    <w:p w14:paraId="43C8151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2000 was the first year that States reported data to the National Reporting System for Adult Education. </w:t>
      </w:r>
    </w:p>
    <w:p w14:paraId="6DDD4B6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strength of the NRS was realized in 2004 when the adult education program received the highest rating of “effective” in the Office of Management and Budget’s Program Assessment Rating Tool, or PART.  The adult education program was one of only three education programs to achieve this distinction and it would not have been possible were it not for the rigorous accountability framework and supporting data collection, reporting, and analysis methods embedded in the NRS.</w:t>
      </w:r>
    </w:p>
    <w:p w14:paraId="5DA3600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From 2000 to 2011, there were very few changes to the NRS. This </w:t>
      </w:r>
      <w:proofErr w:type="gramStart"/>
      <w:r w:rsidRPr="00944CCC">
        <w:rPr>
          <w:rFonts w:ascii="Open Sans" w:hAnsi="Open Sans" w:cs="Open Sans"/>
          <w:lang w:eastAsia="ja-JP"/>
        </w:rPr>
        <w:t>period of time</w:t>
      </w:r>
      <w:proofErr w:type="gramEnd"/>
      <w:r w:rsidRPr="00944CCC">
        <w:rPr>
          <w:rFonts w:ascii="Open Sans" w:hAnsi="Open Sans" w:cs="Open Sans"/>
          <w:lang w:eastAsia="ja-JP"/>
        </w:rPr>
        <w:t xml:space="preserve"> allowed States and local programs the opportunity to focus on continuing to refine their implementation of performance accountability. </w:t>
      </w:r>
    </w:p>
    <w:p w14:paraId="5FA8A94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2014, our current authorizing legislation, the Workforce Innovation and Opportunity Act, or WIOA, was enacted. </w:t>
      </w:r>
    </w:p>
    <w:p w14:paraId="647267A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Since 2016, the national program has seen the development and dissemination of a broad range of technical assistance resources, regulations, information collections, and guidance.  </w:t>
      </w:r>
    </w:p>
    <w:p w14:paraId="140026C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National Reporting System for adult education is authorized under section 212 of WIOA, which States that programs and activities authorized under the Adult </w:t>
      </w:r>
      <w:r w:rsidRPr="00944CCC">
        <w:rPr>
          <w:rFonts w:ascii="Open Sans" w:hAnsi="Open Sans" w:cs="Open Sans"/>
          <w:lang w:eastAsia="ja-JP"/>
        </w:rPr>
        <w:lastRenderedPageBreak/>
        <w:t xml:space="preserve">Education and Family Literacy Act, or AEFLA, are subject to the performance accountability provisions described in section 116 of WIOA. </w:t>
      </w:r>
    </w:p>
    <w:p w14:paraId="64DB517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Section 116 outlines the performance accountability requirements that apply equally to all WIOA core programs.</w:t>
      </w:r>
    </w:p>
    <w:p w14:paraId="4CD21C06" w14:textId="77777777" w:rsidR="00660262" w:rsidRPr="00944CCC" w:rsidRDefault="00660262" w:rsidP="00944CCC">
      <w:pPr>
        <w:pStyle w:val="Heading3"/>
      </w:pPr>
      <w:bookmarkStart w:id="206" w:name="_Toc163980071"/>
      <w:bookmarkStart w:id="207" w:name="_Toc171600544"/>
      <w:r w:rsidRPr="00944CCC">
        <w:t>Summary</w:t>
      </w:r>
      <w:bookmarkEnd w:id="206"/>
      <w:bookmarkEnd w:id="207"/>
    </w:p>
    <w:p w14:paraId="3389F66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Understanding how the national accountability system was developed and the rationale for its methodology, will help you engage in more informed dialog with your stakeholders about the basis for the requirements of program performance measures and explain program outcome data to oversight bodies.</w:t>
      </w:r>
    </w:p>
    <w:p w14:paraId="4EBFDB83" w14:textId="77777777" w:rsidR="005B687F" w:rsidRPr="00944CCC" w:rsidRDefault="00660262" w:rsidP="0056051A">
      <w:pPr>
        <w:rPr>
          <w:rFonts w:ascii="Open Sans" w:hAnsi="Open Sans" w:cs="Open Sans"/>
          <w:lang w:eastAsia="ja-JP"/>
        </w:rPr>
      </w:pPr>
      <w:r w:rsidRPr="00944CCC">
        <w:rPr>
          <w:rFonts w:ascii="Open Sans" w:hAnsi="Open Sans" w:cs="Open Sans"/>
          <w:lang w:eastAsia="ja-JP"/>
        </w:rPr>
        <w:t>In our next video on the NRS, we will look at how the NRS collects and maintains data, and we’ll go through important performance accountability requirements. And be sure to check out the NRS Technical Assistance website for more helpful information on the National Reporting System for Adult Education.</w:t>
      </w:r>
    </w:p>
    <w:p w14:paraId="31550C9A" w14:textId="77777777" w:rsidR="005B687F" w:rsidRPr="00944CCC" w:rsidRDefault="005B687F" w:rsidP="0056051A">
      <w:pPr>
        <w:rPr>
          <w:rFonts w:ascii="Open Sans" w:hAnsi="Open Sans" w:cs="Open Sans"/>
          <w:lang w:eastAsia="ja-JP"/>
        </w:rPr>
      </w:pPr>
      <w:r w:rsidRPr="00944CCC">
        <w:rPr>
          <w:rFonts w:ascii="Open Sans" w:hAnsi="Open Sans" w:cs="Open Sans"/>
          <w:lang w:eastAsia="ja-JP"/>
        </w:rPr>
        <w:br w:type="page"/>
      </w:r>
    </w:p>
    <w:p w14:paraId="26D14BE2" w14:textId="77777777" w:rsidR="00660262" w:rsidRPr="00944CCC" w:rsidRDefault="00660262" w:rsidP="0056051A">
      <w:pPr>
        <w:pStyle w:val="Heading2"/>
        <w:rPr>
          <w:rFonts w:ascii="Open Sans" w:hAnsi="Open Sans" w:cs="Open Sans"/>
          <w:color w:val="032E53"/>
        </w:rPr>
      </w:pPr>
      <w:bookmarkStart w:id="208" w:name="_Authorization,_Purpose,_and"/>
      <w:bookmarkStart w:id="209" w:name="_Toc163980072"/>
      <w:bookmarkStart w:id="210" w:name="_Toc171600545"/>
      <w:bookmarkEnd w:id="208"/>
      <w:r w:rsidRPr="00944CCC">
        <w:rPr>
          <w:rFonts w:ascii="Open Sans" w:hAnsi="Open Sans" w:cs="Open Sans"/>
          <w:color w:val="032E53"/>
        </w:rPr>
        <w:lastRenderedPageBreak/>
        <w:t>Authorization, Purpose, and Stakeholders</w:t>
      </w:r>
      <w:bookmarkEnd w:id="209"/>
      <w:bookmarkEnd w:id="210"/>
    </w:p>
    <w:p w14:paraId="4658F21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this video, we’ll take a closer look at the use of data in the National Reporting System for Adult Education, or NRS.</w:t>
      </w:r>
    </w:p>
    <w:p w14:paraId="5D4B75A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It’s important for State and local adult education staff to understand how the NRS collects and maintains data and contributes to the U.S. Department of Education’s priorities for strengthening the quality, accessibility, and use of education data.</w:t>
      </w:r>
    </w:p>
    <w:p w14:paraId="32EC7A3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This video is part of a series of videos that will help you understand how the National Reporting System works. By the end of these videos, you will better understand:</w:t>
      </w:r>
    </w:p>
    <w:p w14:paraId="3518F921" w14:textId="77777777" w:rsidR="00660262" w:rsidRPr="00944CCC" w:rsidRDefault="00660262" w:rsidP="0056051A">
      <w:pPr>
        <w:pStyle w:val="ListParagraph"/>
        <w:numPr>
          <w:ilvl w:val="0"/>
          <w:numId w:val="59"/>
        </w:numPr>
        <w:rPr>
          <w:rFonts w:ascii="Open Sans" w:hAnsi="Open Sans" w:cs="Open Sans"/>
          <w:lang w:eastAsia="ja-JP"/>
        </w:rPr>
      </w:pPr>
      <w:r w:rsidRPr="00944CCC">
        <w:rPr>
          <w:rFonts w:ascii="Open Sans" w:hAnsi="Open Sans" w:cs="Open Sans"/>
          <w:lang w:eastAsia="ja-JP"/>
        </w:rPr>
        <w:t>The history of the NRS</w:t>
      </w:r>
    </w:p>
    <w:p w14:paraId="1A1A3178" w14:textId="77777777" w:rsidR="00660262" w:rsidRPr="00944CCC" w:rsidRDefault="00660262" w:rsidP="0056051A">
      <w:pPr>
        <w:pStyle w:val="ListParagraph"/>
        <w:numPr>
          <w:ilvl w:val="0"/>
          <w:numId w:val="59"/>
        </w:numPr>
        <w:rPr>
          <w:rFonts w:ascii="Open Sans" w:hAnsi="Open Sans" w:cs="Open Sans"/>
          <w:lang w:eastAsia="ja-JP"/>
        </w:rPr>
      </w:pPr>
      <w:r w:rsidRPr="00944CCC">
        <w:rPr>
          <w:rFonts w:ascii="Open Sans" w:hAnsi="Open Sans" w:cs="Open Sans"/>
          <w:lang w:eastAsia="ja-JP"/>
        </w:rPr>
        <w:t>How the NRS collects and maintains data, and</w:t>
      </w:r>
    </w:p>
    <w:p w14:paraId="79E89132" w14:textId="77777777" w:rsidR="00660262" w:rsidRPr="00944CCC" w:rsidRDefault="00660262" w:rsidP="0056051A">
      <w:pPr>
        <w:pStyle w:val="ListParagraph"/>
        <w:numPr>
          <w:ilvl w:val="0"/>
          <w:numId w:val="59"/>
        </w:numPr>
        <w:rPr>
          <w:rFonts w:ascii="Open Sans" w:hAnsi="Open Sans" w:cs="Open Sans"/>
          <w:lang w:eastAsia="ja-JP"/>
        </w:rPr>
      </w:pPr>
      <w:r w:rsidRPr="00944CCC">
        <w:rPr>
          <w:rFonts w:ascii="Open Sans" w:hAnsi="Open Sans" w:cs="Open Sans"/>
          <w:lang w:eastAsia="ja-JP"/>
        </w:rPr>
        <w:t>The performance accountability requirements that come from the Workforce Innovation and Opportunity Act, or WIOA.</w:t>
      </w:r>
    </w:p>
    <w:p w14:paraId="6A172BB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Your main resource for additional information on the NRS will be the NRS Technical Assistance website. You can find this website and other helpful resources in the Playbook, so be sure to check that out.</w:t>
      </w:r>
    </w:p>
    <w:p w14:paraId="15F5E62D" w14:textId="77777777" w:rsidR="00660262" w:rsidRPr="00944CCC" w:rsidRDefault="00660262" w:rsidP="00944CCC">
      <w:pPr>
        <w:pStyle w:val="Heading3"/>
      </w:pPr>
      <w:bookmarkStart w:id="211" w:name="_Toc163980073"/>
      <w:bookmarkStart w:id="212" w:name="_Toc171600546"/>
      <w:r w:rsidRPr="00944CCC">
        <w:t>How Do We Use NRS Data?</w:t>
      </w:r>
      <w:bookmarkEnd w:id="211"/>
      <w:bookmarkEnd w:id="212"/>
    </w:p>
    <w:p w14:paraId="158C112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Ok, so how do we use NRS data?</w:t>
      </w:r>
    </w:p>
    <w:p w14:paraId="397A157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At the federal level, OCTAE uses NRS data to meet its obligation under the law to report program outcomes to Congress and other oversight bodies.  Moreover, several teams in OCTAE’s Division of Adult Education and Literacy use NRS data to inform the development of innovative technical assistance efforts designed for program improvement.</w:t>
      </w:r>
    </w:p>
    <w:p w14:paraId="1B95BD4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State-level program offices may use NRS data to create report cards for an array of adult education stakeholders across the State, to evaluate the performance of local providers, and to identify technical assistance needs. They may also use NRS data to provide program information for their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legislatures.</w:t>
      </w:r>
    </w:p>
    <w:p w14:paraId="5A8B718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Local providers are the foundation upon which the quality of NRS data rests because the collection of State program data begins at the local level where services to students are delivered.  As such, local providers must have access to program data for regular analysis to ensure the accuracy of their data and to guide their program management and improvement efforts.</w:t>
      </w:r>
    </w:p>
    <w:p w14:paraId="3290653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Ok, so that gives you an idea of what the NRS is, but it's also especially important to talk about what the NRS is not. And this list is not exhaustive. First, the NRS does not preclude States from collecting other measures and using those measures for </w:t>
      </w:r>
      <w:r w:rsidRPr="00944CCC">
        <w:rPr>
          <w:rFonts w:ascii="Open Sans" w:hAnsi="Open Sans" w:cs="Open Sans"/>
          <w:lang w:eastAsia="ja-JP"/>
        </w:rPr>
        <w:lastRenderedPageBreak/>
        <w:t xml:space="preserve">State accountability and program improvement. States have the flexibility to define additional measures that best address their specific needs. Similarly, the NRS does not require the use of certain data systems or specific software or, when a State is designing its own data system, the NRS does not prescribe how to code it. </w:t>
      </w:r>
    </w:p>
    <w:p w14:paraId="68871EB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Furthermore, the NRS does not require a specific record keeping system. As a result, States are using a variety of systems. Some of these systems are State-developed and maintained. Some of them are commercial off-the-shelf products. Some of them are a hybrid.</w:t>
      </w:r>
    </w:p>
    <w:p w14:paraId="22B2D78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As a new State director or State staff member, it is important to know what type of data system your State uses. It’s also important to know which of your team members are tasked to assist local providers with data collection and reporting, and how your office monitors local providers’ use of your data system.</w:t>
      </w:r>
    </w:p>
    <w:p w14:paraId="42034FF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Perhaps most important, the NRS does not require a specific curriculum or a single test or assessment that must be used in adult education classrooms. States and local providers retain flexibility in decisions related to program design and classroom practice.</w:t>
      </w:r>
    </w:p>
    <w:p w14:paraId="141F0B6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One of the most important aspects of the NRS is its role in performance accountability. Section 116 of WIOA is an important section of the law for adult education and for our partner programs. It's where the performance accountability requirements are described and is the first place to go for questions related to the primary indicators of performance. OCTAE and its federal partners have promulgated regulations to help interpret the statute and provide more detail on the requirements for data collection and reporting. In addition, OCTAE provides guidance on a wide range of topics in the program memoranda published by the federal office. </w:t>
      </w:r>
    </w:p>
    <w:p w14:paraId="0606088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Sometimes you can answer a question by going back to the law and reading what the statute requires. For example, basic questions about eligible individuals, eligible providers, or even the term "adult education" itself can be answered by referencing section 203 of WIOA.  </w:t>
      </w:r>
    </w:p>
    <w:p w14:paraId="3081D1C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Another facet of the WIOA accountability requirements is the Statewide Performance Report. That's the capstone performance report that States are required to submit to OCTAE every year. After sharing the annual data with Congress, OCTAE makes the Statewide Performance Report publicly available on its website. </w:t>
      </w:r>
    </w:p>
    <w:p w14:paraId="7F5A662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 data quality checklist, or DQC, is part of the annual reporting process and is submitted each year with the annual performance report. The DQC serves as an </w:t>
      </w:r>
      <w:r w:rsidRPr="00944CCC">
        <w:rPr>
          <w:rFonts w:ascii="Open Sans" w:hAnsi="Open Sans" w:cs="Open Sans"/>
          <w:lang w:eastAsia="ja-JP"/>
        </w:rPr>
        <w:lastRenderedPageBreak/>
        <w:t xml:space="preserve">attestation by the State director that the data submitted to OCTAE are valid and reliable. The DQC covers four domains which include: </w:t>
      </w:r>
    </w:p>
    <w:p w14:paraId="4A0D1D30" w14:textId="77777777" w:rsidR="00660262" w:rsidRPr="00944CCC" w:rsidRDefault="00660262" w:rsidP="0056051A">
      <w:pPr>
        <w:pStyle w:val="ListParagraph"/>
        <w:numPr>
          <w:ilvl w:val="0"/>
          <w:numId w:val="62"/>
        </w:numPr>
        <w:rPr>
          <w:rFonts w:ascii="Open Sans" w:hAnsi="Open Sans" w:cs="Open Sans"/>
          <w:lang w:eastAsia="ja-JP"/>
        </w:rPr>
      </w:pPr>
      <w:r w:rsidRPr="00944CCC">
        <w:rPr>
          <w:rFonts w:ascii="Open Sans" w:hAnsi="Open Sans" w:cs="Open Sans"/>
          <w:lang w:eastAsia="ja-JP"/>
        </w:rPr>
        <w:t>Data Foundation and Structure</w:t>
      </w:r>
    </w:p>
    <w:p w14:paraId="74259792" w14:textId="77777777" w:rsidR="00660262" w:rsidRPr="00944CCC" w:rsidRDefault="00660262" w:rsidP="0056051A">
      <w:pPr>
        <w:pStyle w:val="ListParagraph"/>
        <w:numPr>
          <w:ilvl w:val="0"/>
          <w:numId w:val="62"/>
        </w:numPr>
        <w:rPr>
          <w:rFonts w:ascii="Open Sans" w:hAnsi="Open Sans" w:cs="Open Sans"/>
          <w:lang w:eastAsia="ja-JP"/>
        </w:rPr>
      </w:pPr>
      <w:r w:rsidRPr="00944CCC">
        <w:rPr>
          <w:rFonts w:ascii="Open Sans" w:hAnsi="Open Sans" w:cs="Open Sans"/>
          <w:lang w:eastAsia="ja-JP"/>
        </w:rPr>
        <w:t>Data Collection and Verification</w:t>
      </w:r>
    </w:p>
    <w:p w14:paraId="6134B3C6" w14:textId="77777777" w:rsidR="00660262" w:rsidRPr="00944CCC" w:rsidRDefault="00660262" w:rsidP="0056051A">
      <w:pPr>
        <w:pStyle w:val="ListParagraph"/>
        <w:numPr>
          <w:ilvl w:val="0"/>
          <w:numId w:val="62"/>
        </w:numPr>
        <w:rPr>
          <w:rFonts w:ascii="Open Sans" w:hAnsi="Open Sans" w:cs="Open Sans"/>
          <w:lang w:eastAsia="ja-JP"/>
        </w:rPr>
      </w:pPr>
      <w:r w:rsidRPr="00944CCC">
        <w:rPr>
          <w:rFonts w:ascii="Open Sans" w:hAnsi="Open Sans" w:cs="Open Sans"/>
          <w:lang w:eastAsia="ja-JP"/>
        </w:rPr>
        <w:t>Data Analysis and Reporting, and</w:t>
      </w:r>
    </w:p>
    <w:p w14:paraId="3DE196F6" w14:textId="77777777" w:rsidR="00660262" w:rsidRPr="00944CCC" w:rsidRDefault="00660262" w:rsidP="0056051A">
      <w:pPr>
        <w:pStyle w:val="ListParagraph"/>
        <w:numPr>
          <w:ilvl w:val="0"/>
          <w:numId w:val="62"/>
        </w:numPr>
        <w:rPr>
          <w:rFonts w:ascii="Open Sans" w:hAnsi="Open Sans" w:cs="Open Sans"/>
          <w:lang w:eastAsia="ja-JP"/>
        </w:rPr>
      </w:pPr>
      <w:r w:rsidRPr="00944CCC">
        <w:rPr>
          <w:rFonts w:ascii="Open Sans" w:hAnsi="Open Sans" w:cs="Open Sans"/>
          <w:lang w:eastAsia="ja-JP"/>
        </w:rPr>
        <w:t>Staff Development</w:t>
      </w:r>
    </w:p>
    <w:p w14:paraId="126921A7" w14:textId="77777777" w:rsidR="00660262" w:rsidRPr="00944CCC" w:rsidRDefault="00660262" w:rsidP="00944CCC">
      <w:pPr>
        <w:pStyle w:val="Heading3"/>
      </w:pPr>
      <w:bookmarkStart w:id="213" w:name="_Toc163980074"/>
      <w:bookmarkStart w:id="214" w:name="_Toc171600547"/>
      <w:r w:rsidRPr="00944CCC">
        <w:t>Primary Indicators of Performance</w:t>
      </w:r>
      <w:bookmarkEnd w:id="213"/>
      <w:bookmarkEnd w:id="214"/>
      <w:r w:rsidRPr="00944CCC">
        <w:t xml:space="preserve"> </w:t>
      </w:r>
    </w:p>
    <w:p w14:paraId="663CC5A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Now let’s </w:t>
      </w:r>
      <w:proofErr w:type="gramStart"/>
      <w:r w:rsidRPr="00944CCC">
        <w:rPr>
          <w:rFonts w:ascii="Open Sans" w:hAnsi="Open Sans" w:cs="Open Sans"/>
          <w:lang w:eastAsia="ja-JP"/>
        </w:rPr>
        <w:t>take a look</w:t>
      </w:r>
      <w:proofErr w:type="gramEnd"/>
      <w:r w:rsidRPr="00944CCC">
        <w:rPr>
          <w:rFonts w:ascii="Open Sans" w:hAnsi="Open Sans" w:cs="Open Sans"/>
          <w:lang w:eastAsia="ja-JP"/>
        </w:rPr>
        <w:t xml:space="preserve"> at the WIOA Primary Indicators of Performance. This is a very important table that we use in the NRS. It is derived from the joint information collection for WIOA performance accountability. The first two indicators, “employment </w:t>
      </w:r>
      <w:proofErr w:type="spellStart"/>
      <w:r w:rsidRPr="00944CCC">
        <w:rPr>
          <w:rFonts w:ascii="Open Sans" w:hAnsi="Open Sans" w:cs="Open Sans"/>
          <w:lang w:eastAsia="ja-JP"/>
        </w:rPr>
        <w:t>tate</w:t>
      </w:r>
      <w:proofErr w:type="spellEnd"/>
      <w:r w:rsidRPr="00944CCC">
        <w:rPr>
          <w:rFonts w:ascii="Open Sans" w:hAnsi="Open Sans" w:cs="Open Sans"/>
          <w:lang w:eastAsia="ja-JP"/>
        </w:rPr>
        <w:t xml:space="preserve"> – 2</w:t>
      </w:r>
      <w:r w:rsidRPr="00944CCC">
        <w:rPr>
          <w:rFonts w:ascii="Open Sans" w:hAnsi="Open Sans" w:cs="Open Sans"/>
          <w:vertAlign w:val="superscript"/>
          <w:lang w:eastAsia="ja-JP"/>
        </w:rPr>
        <w:t>nd</w:t>
      </w:r>
      <w:r w:rsidRPr="00944CCC">
        <w:rPr>
          <w:rFonts w:ascii="Open Sans" w:hAnsi="Open Sans" w:cs="Open Sans"/>
          <w:lang w:eastAsia="ja-JP"/>
        </w:rPr>
        <w:t xml:space="preserve"> quarter” and “employment rate – 4</w:t>
      </w:r>
      <w:r w:rsidRPr="00944CCC">
        <w:rPr>
          <w:rFonts w:ascii="Open Sans" w:hAnsi="Open Sans" w:cs="Open Sans"/>
          <w:vertAlign w:val="superscript"/>
          <w:lang w:eastAsia="ja-JP"/>
        </w:rPr>
        <w:t>th</w:t>
      </w:r>
      <w:r w:rsidRPr="00944CCC">
        <w:rPr>
          <w:rFonts w:ascii="Open Sans" w:hAnsi="Open Sans" w:cs="Open Sans"/>
          <w:lang w:eastAsia="ja-JP"/>
        </w:rPr>
        <w:t xml:space="preserve"> quarter,” are used to determine whether participants who have exited the program are employed two quarters after they exit and then four quarters after they exit. </w:t>
      </w:r>
    </w:p>
    <w:p w14:paraId="44787F0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“median earnings” indicator is used to report the median earnings of participants who have exited the program and are engaged in unsubsidized employment in the second quarter after exit. </w:t>
      </w:r>
    </w:p>
    <w:p w14:paraId="5DADE8B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next indicator is the “credential attainment rate.” It is a more complex measure with additional requirements that describe the criteria that must be met </w:t>
      </w:r>
      <w:proofErr w:type="gramStart"/>
      <w:r w:rsidRPr="00944CCC">
        <w:rPr>
          <w:rFonts w:ascii="Open Sans" w:hAnsi="Open Sans" w:cs="Open Sans"/>
          <w:lang w:eastAsia="ja-JP"/>
        </w:rPr>
        <w:t>in order to</w:t>
      </w:r>
      <w:proofErr w:type="gramEnd"/>
      <w:r w:rsidRPr="00944CCC">
        <w:rPr>
          <w:rFonts w:ascii="Open Sans" w:hAnsi="Open Sans" w:cs="Open Sans"/>
          <w:lang w:eastAsia="ja-JP"/>
        </w:rPr>
        <w:t xml:space="preserve"> report the achievement of a high school diploma. The credential attainment indicator includes both secondary school diplomas and post-secondary credentials. </w:t>
      </w:r>
    </w:p>
    <w:p w14:paraId="73C57EA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“Measurable skill gain” is an indicator that measures a participant’s interim progress in the program. Success under this measure can be demonstrated in several ways.  For example, participants may demonstrate success by achieving an educational gain, earning a secondary school diploma, enrolling in postsecondary education or training after exit, earning credits or Carnegie units, making progress toward established milestones, or by passing an exam that is required for a particular occupation.</w:t>
      </w:r>
    </w:p>
    <w:p w14:paraId="7A98EC7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“effectiveness in serving employers” indicator is used to measure the effectiveness of the WIOA core programs in serving employers. </w:t>
      </w:r>
    </w:p>
    <w:p w14:paraId="57B5622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data for all WIOA Primary Indicators of Performance were not available at the same time. Due to the requirements for measuring outcomes outlined in the law, there were lags in the availability of data for indicators with longer timelines. For example, the indicators with outcome data that are collected in the fourth quarter after a participant’s exit were not fully reported until program year 2018. Starting in program year 2018 and moving forward,</w:t>
      </w:r>
      <w:r w:rsidRPr="00944CCC">
        <w:rPr>
          <w:rFonts w:ascii="Open Sans" w:hAnsi="Open Sans" w:cs="Open Sans"/>
          <w:b/>
          <w:bCs/>
          <w:lang w:eastAsia="ja-JP"/>
        </w:rPr>
        <w:t xml:space="preserve"> </w:t>
      </w:r>
      <w:r w:rsidRPr="00944CCC">
        <w:rPr>
          <w:rFonts w:ascii="Open Sans" w:hAnsi="Open Sans" w:cs="Open Sans"/>
          <w:lang w:eastAsia="ja-JP"/>
        </w:rPr>
        <w:t>annual reports have included data for all indicators</w:t>
      </w:r>
      <w:r w:rsidRPr="00944CCC">
        <w:rPr>
          <w:rFonts w:ascii="Open Sans" w:hAnsi="Open Sans" w:cs="Open Sans"/>
          <w:b/>
          <w:bCs/>
          <w:lang w:eastAsia="ja-JP"/>
        </w:rPr>
        <w:t>.</w:t>
      </w:r>
    </w:p>
    <w:p w14:paraId="648478C4" w14:textId="77777777" w:rsidR="005B687F" w:rsidRPr="00944CCC" w:rsidRDefault="00660262" w:rsidP="0056051A">
      <w:pPr>
        <w:rPr>
          <w:rFonts w:ascii="Open Sans" w:hAnsi="Open Sans" w:cs="Open Sans"/>
          <w:lang w:eastAsia="ja-JP"/>
        </w:rPr>
      </w:pPr>
      <w:r w:rsidRPr="00944CCC">
        <w:rPr>
          <w:rFonts w:ascii="Open Sans" w:hAnsi="Open Sans" w:cs="Open Sans"/>
          <w:lang w:eastAsia="ja-JP"/>
        </w:rPr>
        <w:lastRenderedPageBreak/>
        <w:t>For each annual report, the cohort periods vary across each measure reported. These different cohort periods adapt to the availability of data and ensure that the most recent information can be reported. The joint information collection is regularly updated with tables that show which cohort time periods are covered for each measure in each annual report.</w:t>
      </w:r>
    </w:p>
    <w:p w14:paraId="4919F349" w14:textId="77777777" w:rsidR="005B687F" w:rsidRPr="00944CCC" w:rsidRDefault="005B687F" w:rsidP="0056051A">
      <w:pPr>
        <w:rPr>
          <w:rFonts w:ascii="Open Sans" w:hAnsi="Open Sans" w:cs="Open Sans"/>
          <w:lang w:eastAsia="ja-JP"/>
        </w:rPr>
      </w:pPr>
      <w:r w:rsidRPr="00944CCC">
        <w:rPr>
          <w:rFonts w:ascii="Open Sans" w:hAnsi="Open Sans" w:cs="Open Sans"/>
          <w:lang w:eastAsia="ja-JP"/>
        </w:rPr>
        <w:br w:type="page"/>
      </w:r>
    </w:p>
    <w:p w14:paraId="03970992" w14:textId="77777777" w:rsidR="00660262" w:rsidRPr="00944CCC" w:rsidRDefault="00660262" w:rsidP="00944CCC">
      <w:pPr>
        <w:pStyle w:val="Heading3"/>
      </w:pPr>
      <w:bookmarkStart w:id="215" w:name="_Toc163980075"/>
      <w:bookmarkStart w:id="216" w:name="_Toc171600548"/>
      <w:r w:rsidRPr="00944CCC">
        <w:lastRenderedPageBreak/>
        <w:t>WIOA Performance Data Reporting</w:t>
      </w:r>
      <w:bookmarkEnd w:id="215"/>
      <w:bookmarkEnd w:id="216"/>
    </w:p>
    <w:p w14:paraId="5456D58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What are the criteria for reporting students served with Adult Education and Family Literacy Act, or AEFLA funds?</w:t>
      </w:r>
    </w:p>
    <w:p w14:paraId="224B157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All participants who receive at least 12 hours of service are reportable and, if they meet certain performance accountability requirements, must be included in the data reported for program outcomes.  </w:t>
      </w:r>
    </w:p>
    <w:p w14:paraId="3583DD4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For each adult education student who receives 12 or more hours of service, programs must collect and report key demographic data and basic information about the individual’s program participation. The outcomes for these students must also be reported, if they meet the criteria for inclusion in certain performance indicators. In addition, States </w:t>
      </w:r>
      <w:proofErr w:type="gramStart"/>
      <w:r w:rsidRPr="00944CCC">
        <w:rPr>
          <w:rFonts w:ascii="Open Sans" w:hAnsi="Open Sans" w:cs="Open Sans"/>
          <w:lang w:eastAsia="ja-JP"/>
        </w:rPr>
        <w:t>have the opportunity to</w:t>
      </w:r>
      <w:proofErr w:type="gramEnd"/>
      <w:r w:rsidRPr="00944CCC">
        <w:rPr>
          <w:rFonts w:ascii="Open Sans" w:hAnsi="Open Sans" w:cs="Open Sans"/>
          <w:lang w:eastAsia="ja-JP"/>
        </w:rPr>
        <w:t xml:space="preserve"> track and report other measures on optional NRS tables. </w:t>
      </w:r>
    </w:p>
    <w:p w14:paraId="1ECE006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States must also </w:t>
      </w:r>
      <w:proofErr w:type="gramStart"/>
      <w:r w:rsidRPr="00944CCC">
        <w:rPr>
          <w:rFonts w:ascii="Open Sans" w:hAnsi="Open Sans" w:cs="Open Sans"/>
          <w:lang w:eastAsia="ja-JP"/>
        </w:rPr>
        <w:t>track</w:t>
      </w:r>
      <w:proofErr w:type="gramEnd"/>
      <w:r w:rsidRPr="00944CCC">
        <w:rPr>
          <w:rFonts w:ascii="Open Sans" w:hAnsi="Open Sans" w:cs="Open Sans"/>
          <w:lang w:eastAsia="ja-JP"/>
        </w:rPr>
        <w:t xml:space="preserve"> and report contact hours for students served with AEFLA funds.  These hours may occur in the classroom or via telephone, video conference, or online communication, where the participant’s identity is verifiable by program staff. States may also track and report proxy hours using the Clock Time Model, Teacher Verification Model, and Learner Mastery Model. You can find more information on these methods for tracking proxy contact hours in the NRS Technical Assistance Guide.</w:t>
      </w:r>
    </w:p>
    <w:p w14:paraId="5FF368E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Another aspect of student participation that should be captured in the State’s data system is the type of program in which a student is enrolled, such as Adult Basic Education, Adult Secondary Education, ESL, Integrated Education and Training, or Integrated English Literacy and Civics Education. </w:t>
      </w:r>
      <w:proofErr w:type="gramStart"/>
      <w:r w:rsidRPr="00944CCC">
        <w:rPr>
          <w:rFonts w:ascii="Open Sans" w:hAnsi="Open Sans" w:cs="Open Sans"/>
          <w:lang w:eastAsia="ja-JP"/>
        </w:rPr>
        <w:t>All of</w:t>
      </w:r>
      <w:proofErr w:type="gramEnd"/>
      <w:r w:rsidRPr="00944CCC">
        <w:rPr>
          <w:rFonts w:ascii="Open Sans" w:hAnsi="Open Sans" w:cs="Open Sans"/>
          <w:lang w:eastAsia="ja-JP"/>
        </w:rPr>
        <w:t xml:space="preserve"> these data elements help to provide a comprehensive overview of the State’s adult education program and who it serves.</w:t>
      </w:r>
    </w:p>
    <w:p w14:paraId="180C6A2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WIOA requires the collection and reporting of data on what the statute calls the “barriers to employment.” The data reported for some of these barriers to employment can have an impact on the WIOA Statistical Adjustment Model, which we will describe next. For this reason, it's important that local programs collect this information for each student.</w:t>
      </w:r>
    </w:p>
    <w:p w14:paraId="2F51BDF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One thing to keep in mind is the difficulty program staff may encounter in conveying the meaning of these barriers to the student. It’s a good idea to find ways that make these questions easier to ask. For example, when collecting information about the “homeless or runaway youth” barrier to employment, programs might ask where a participant has been living or with whom they live, rather than, “Are you homeless or a runaway youth?” These are not easy questions to ask. The </w:t>
      </w:r>
      <w:r w:rsidRPr="00944CCC">
        <w:rPr>
          <w:rFonts w:ascii="Open Sans" w:hAnsi="Open Sans" w:cs="Open Sans"/>
          <w:lang w:eastAsia="ja-JP"/>
        </w:rPr>
        <w:lastRenderedPageBreak/>
        <w:t>barriers to employment are an essential requirement of WIOA performance reporting, so finding a good way to collect the data is important.</w:t>
      </w:r>
    </w:p>
    <w:p w14:paraId="6DF0F44F" w14:textId="77777777" w:rsidR="00660262" w:rsidRPr="00944CCC" w:rsidRDefault="00660262" w:rsidP="00944CCC">
      <w:pPr>
        <w:pStyle w:val="Heading3"/>
      </w:pPr>
      <w:bookmarkStart w:id="217" w:name="_Toc163980076"/>
      <w:bookmarkStart w:id="218" w:name="_Toc171600549"/>
      <w:r w:rsidRPr="00944CCC">
        <w:t>The Statistical Adjustment Model</w:t>
      </w:r>
      <w:bookmarkEnd w:id="217"/>
      <w:bookmarkEnd w:id="218"/>
    </w:p>
    <w:p w14:paraId="4FD95D2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There is a Statistical Adjustment Model that is required by the statute. The model is used to make the adjustments to the negotiated levels of performance for the actual economic conditions and characteristics of participants in the State.  The model is applied twice: before the program year, at the time performance targets are negotiated, and after the program year, when actual performance data has been reported.</w:t>
      </w:r>
    </w:p>
    <w:p w14:paraId="60D7951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statute also specifies certain data that must be included in the Statistical Adjustment Model, such as the differences among States in actual economic conditions and the characteristics of students when they entered the program, such as poor work history, disability status, homelessness, and welfare dependency.</w:t>
      </w:r>
    </w:p>
    <w:p w14:paraId="497F206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State offices negotiate targets with local programs in a variety of ways, but here are three possible approaches:  </w:t>
      </w:r>
    </w:p>
    <w:p w14:paraId="2D0A8D65" w14:textId="77777777" w:rsidR="00660262" w:rsidRPr="00944CCC" w:rsidRDefault="00660262" w:rsidP="0056051A">
      <w:pPr>
        <w:pStyle w:val="ListParagraph"/>
        <w:numPr>
          <w:ilvl w:val="0"/>
          <w:numId w:val="63"/>
        </w:numPr>
        <w:rPr>
          <w:rFonts w:ascii="Open Sans" w:hAnsi="Open Sans" w:cs="Open Sans"/>
          <w:lang w:eastAsia="ja-JP"/>
        </w:rPr>
      </w:pPr>
      <w:r w:rsidRPr="00944CCC">
        <w:rPr>
          <w:rFonts w:ascii="Open Sans" w:hAnsi="Open Sans" w:cs="Open Sans"/>
          <w:lang w:eastAsia="ja-JP"/>
        </w:rPr>
        <w:t>The first option would be to negotiate a unique performance target with each local program. A significant benefit to this approach is that it's tailored to the individual program. One of the drawbacks would be that the negotiation process can be resource intensive.</w:t>
      </w:r>
    </w:p>
    <w:p w14:paraId="08DF3935" w14:textId="77777777" w:rsidR="00660262" w:rsidRPr="00944CCC" w:rsidRDefault="00660262" w:rsidP="0056051A">
      <w:pPr>
        <w:pStyle w:val="ListParagraph"/>
        <w:numPr>
          <w:ilvl w:val="0"/>
          <w:numId w:val="63"/>
        </w:numPr>
        <w:rPr>
          <w:rFonts w:ascii="Open Sans" w:hAnsi="Open Sans" w:cs="Open Sans"/>
          <w:lang w:eastAsia="ja-JP"/>
        </w:rPr>
      </w:pPr>
      <w:r w:rsidRPr="00944CCC">
        <w:rPr>
          <w:rFonts w:ascii="Open Sans" w:hAnsi="Open Sans" w:cs="Open Sans"/>
          <w:lang w:eastAsia="ja-JP"/>
        </w:rPr>
        <w:t xml:space="preserve">Under the second approach, a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office could calculate the average performance for all programs in the previous year, and that number becomes the target for all programs in the following year. This approach may work well for lower-performing programs, but it doesn't really address the goals for high-performing programs. </w:t>
      </w:r>
    </w:p>
    <w:p w14:paraId="76A24DBD" w14:textId="77777777" w:rsidR="00660262" w:rsidRPr="00944CCC" w:rsidRDefault="00660262" w:rsidP="0056051A">
      <w:pPr>
        <w:pStyle w:val="ListParagraph"/>
        <w:numPr>
          <w:ilvl w:val="0"/>
          <w:numId w:val="63"/>
        </w:numPr>
        <w:rPr>
          <w:rFonts w:ascii="Open Sans" w:hAnsi="Open Sans" w:cs="Open Sans"/>
          <w:lang w:eastAsia="ja-JP"/>
        </w:rPr>
      </w:pPr>
      <w:r w:rsidRPr="00944CCC">
        <w:rPr>
          <w:rFonts w:ascii="Open Sans" w:hAnsi="Open Sans" w:cs="Open Sans"/>
          <w:lang w:eastAsia="ja-JP"/>
        </w:rPr>
        <w:t>The third approach is the idea of taking external criteria, such as the targets the State negotiated with the federal office, and passing along those targets to all the local programs. Again, as with the other two approaches, there are pluses and minuses to this one as well. Setting the same target for all local providers may not adequately address the unique needs of individual programs.</w:t>
      </w:r>
    </w:p>
    <w:p w14:paraId="4B8D414C" w14:textId="77777777" w:rsidR="00660262" w:rsidRPr="00944CCC" w:rsidRDefault="00660262" w:rsidP="00944CCC">
      <w:pPr>
        <w:pStyle w:val="Heading3"/>
      </w:pPr>
      <w:bookmarkStart w:id="219" w:name="_Toc163980077"/>
      <w:bookmarkStart w:id="220" w:name="_Toc171600550"/>
      <w:r w:rsidRPr="00944CCC">
        <w:t>Keys to a Strong Accountability System</w:t>
      </w:r>
      <w:bookmarkEnd w:id="219"/>
      <w:bookmarkEnd w:id="220"/>
    </w:p>
    <w:p w14:paraId="050EE15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keys to a strong accountability system include many factors, but one of the most important is timely data entry. Local programs should submit their data in the State’s system at least quarterly.  </w:t>
      </w:r>
    </w:p>
    <w:p w14:paraId="26E7B38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Another very important feature of a strong accountability system is regular data review and error checking by the State office. This practice is critical to valid and reliable data. There should be at least one person in every State office whose job it is to do this on a regular basis. The more frequently data are reviewed, the easier it is to collect missing information such as birthdates and resolve anomalies when they are identified. That's where training and monitoring comes in.</w:t>
      </w:r>
    </w:p>
    <w:p w14:paraId="21E0061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Local access to data is another critical piece of a strong accountability system. This concept cannot be overstated or overemphasized.  Some local programs may only feed information into the State data system and never see it again. They don't know why they're collecting it.  It makes State office conversations with local programs so much more productive and fruitful when they have access to the same data. Training local providers on using data is an essential first step toward making informed decisions about program management and improvement.</w:t>
      </w:r>
    </w:p>
    <w:p w14:paraId="2A572A81" w14:textId="77777777" w:rsidR="00660262" w:rsidRPr="00944CCC" w:rsidRDefault="00660262" w:rsidP="00944CCC">
      <w:pPr>
        <w:pStyle w:val="Heading3"/>
      </w:pPr>
      <w:bookmarkStart w:id="221" w:name="_Toc163980078"/>
      <w:bookmarkStart w:id="222" w:name="_Toc171600551"/>
      <w:r w:rsidRPr="00944CCC">
        <w:t>Important Resources</w:t>
      </w:r>
      <w:bookmarkEnd w:id="221"/>
      <w:bookmarkEnd w:id="222"/>
    </w:p>
    <w:p w14:paraId="6D06518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There are two primary websites for the National Reporting System for Adult Education. One is the technical assistance website at NRSweb.org. It maintains a variety of training materials and other key documents, such as the NRS Technical Assistance Guide</w:t>
      </w:r>
      <w:r w:rsidRPr="00944CCC">
        <w:rPr>
          <w:rFonts w:ascii="Open Sans" w:hAnsi="Open Sans" w:cs="Open Sans"/>
          <w:i/>
          <w:iCs/>
          <w:lang w:eastAsia="ja-JP"/>
        </w:rPr>
        <w:t>.</w:t>
      </w:r>
    </w:p>
    <w:p w14:paraId="2672B0D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If you’re new to the NRS, the NRS Technical Assistance Guide is the best place to start. It contains information about the history of the NRS, assessment implementation, approaches for data collection, designing data systems, statistical performance tables, and financial reporting forms, just to name a few. All the instructions for reporting are there too. It's a good primary resource document that is revised on a regular basis.</w:t>
      </w:r>
    </w:p>
    <w:p w14:paraId="18F7DBD7" w14:textId="77777777" w:rsidR="00660262" w:rsidRPr="00944CCC" w:rsidRDefault="00660262" w:rsidP="0056051A">
      <w:pPr>
        <w:rPr>
          <w:rFonts w:ascii="Open Sans" w:hAnsi="Open Sans" w:cs="Open Sans"/>
          <w:lang w:eastAsia="ja-JP"/>
        </w:rPr>
      </w:pPr>
      <w:proofErr w:type="gramStart"/>
      <w:r w:rsidRPr="00944CCC">
        <w:rPr>
          <w:rFonts w:ascii="Open Sans" w:hAnsi="Open Sans" w:cs="Open Sans"/>
          <w:lang w:eastAsia="ja-JP"/>
        </w:rPr>
        <w:t>Also</w:t>
      </w:r>
      <w:proofErr w:type="gramEnd"/>
      <w:r w:rsidRPr="00944CCC">
        <w:rPr>
          <w:rFonts w:ascii="Open Sans" w:hAnsi="Open Sans" w:cs="Open Sans"/>
          <w:lang w:eastAsia="ja-JP"/>
        </w:rPr>
        <w:t xml:space="preserve"> on the NRS Technical Assistance website are self-directed courses such as “Measuring Performance Under WIOA” which provides an introduction to the WIOA indicators of performance and reporting in the National Reporting System. The course also covers the NRS reporting tables. </w:t>
      </w:r>
    </w:p>
    <w:p w14:paraId="77B97A8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self-directed courses on NRSweb.org are an important part of orienting new State staff to the NRS, but they can be very beneficial to local providers too. A certificate of completion is issued after completing each course.</w:t>
      </w:r>
    </w:p>
    <w:p w14:paraId="219D97E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addition to the technical assistance website, there is another NRS website that facilitates the reporting and analysis of annual program data. You can find it at nrs.ed.gov. </w:t>
      </w:r>
    </w:p>
    <w:p w14:paraId="35DA630C" w14:textId="77777777" w:rsidR="005B687F" w:rsidRPr="00944CCC" w:rsidRDefault="00660262" w:rsidP="0056051A">
      <w:pPr>
        <w:rPr>
          <w:rFonts w:ascii="Open Sans" w:hAnsi="Open Sans" w:cs="Open Sans"/>
          <w:lang w:eastAsia="ja-JP"/>
        </w:rPr>
      </w:pPr>
      <w:r w:rsidRPr="00944CCC">
        <w:rPr>
          <w:rFonts w:ascii="Open Sans" w:hAnsi="Open Sans" w:cs="Open Sans"/>
          <w:lang w:eastAsia="ja-JP"/>
        </w:rPr>
        <w:t xml:space="preserve">The site collects data annually for the performance tables, financial reports, narrative reports, data quality checklist, and assessment policies. OCTAE offers webinars on the use of this site every year for annual reporting. If you need </w:t>
      </w:r>
      <w:r w:rsidRPr="00944CCC">
        <w:rPr>
          <w:rFonts w:ascii="Open Sans" w:hAnsi="Open Sans" w:cs="Open Sans"/>
          <w:lang w:eastAsia="ja-JP"/>
        </w:rPr>
        <w:lastRenderedPageBreak/>
        <w:t>individualized assistance, please send a request to NRS@ed.gov. We’d be happy to help!</w:t>
      </w:r>
    </w:p>
    <w:p w14:paraId="1616982E" w14:textId="77777777" w:rsidR="005B687F" w:rsidRPr="00944CCC" w:rsidRDefault="005B687F" w:rsidP="0056051A">
      <w:pPr>
        <w:rPr>
          <w:rFonts w:ascii="Open Sans" w:hAnsi="Open Sans" w:cs="Open Sans"/>
          <w:lang w:eastAsia="ja-JP"/>
        </w:rPr>
      </w:pPr>
      <w:r w:rsidRPr="00944CCC">
        <w:rPr>
          <w:rFonts w:ascii="Open Sans" w:hAnsi="Open Sans" w:cs="Open Sans"/>
          <w:lang w:eastAsia="ja-JP"/>
        </w:rPr>
        <w:br w:type="page"/>
      </w:r>
    </w:p>
    <w:p w14:paraId="7BD8E7DC" w14:textId="77777777" w:rsidR="00660262" w:rsidRPr="00944CCC" w:rsidRDefault="00660262" w:rsidP="0056051A">
      <w:pPr>
        <w:pStyle w:val="Heading2"/>
        <w:rPr>
          <w:rFonts w:ascii="Open Sans" w:hAnsi="Open Sans" w:cs="Open Sans"/>
          <w:color w:val="032E53"/>
        </w:rPr>
      </w:pPr>
      <w:bookmarkStart w:id="223" w:name="_WIOA_Partnerships_and"/>
      <w:bookmarkStart w:id="224" w:name="_Toc163980079"/>
      <w:bookmarkStart w:id="225" w:name="_Toc171600552"/>
      <w:bookmarkEnd w:id="223"/>
      <w:r w:rsidRPr="00944CCC">
        <w:rPr>
          <w:rFonts w:ascii="Open Sans" w:hAnsi="Open Sans" w:cs="Open Sans"/>
          <w:color w:val="032E53"/>
        </w:rPr>
        <w:lastRenderedPageBreak/>
        <w:t>WIOA Partnerships and the American Job Center Network</w:t>
      </w:r>
      <w:bookmarkEnd w:id="224"/>
      <w:bookmarkEnd w:id="225"/>
    </w:p>
    <w:p w14:paraId="4B43EA3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this video, we’re going to </w:t>
      </w:r>
      <w:proofErr w:type="gramStart"/>
      <w:r w:rsidRPr="00944CCC">
        <w:rPr>
          <w:rFonts w:ascii="Open Sans" w:hAnsi="Open Sans" w:cs="Open Sans"/>
          <w:lang w:eastAsia="ja-JP"/>
        </w:rPr>
        <w:t>take a look</w:t>
      </w:r>
      <w:proofErr w:type="gramEnd"/>
      <w:r w:rsidRPr="00944CCC">
        <w:rPr>
          <w:rFonts w:ascii="Open Sans" w:hAnsi="Open Sans" w:cs="Open Sans"/>
          <w:lang w:eastAsia="ja-JP"/>
        </w:rPr>
        <w:t xml:space="preserve"> at WIOA Partnerships and the American Job Center network. You will see that the American Job Centers, or </w:t>
      </w:r>
      <w:proofErr w:type="gramStart"/>
      <w:r w:rsidRPr="00944CCC">
        <w:rPr>
          <w:rFonts w:ascii="Open Sans" w:hAnsi="Open Sans" w:cs="Open Sans"/>
          <w:lang w:eastAsia="ja-JP"/>
        </w:rPr>
        <w:t>AJC’s</w:t>
      </w:r>
      <w:proofErr w:type="gramEnd"/>
      <w:r w:rsidRPr="00944CCC">
        <w:rPr>
          <w:rFonts w:ascii="Open Sans" w:hAnsi="Open Sans" w:cs="Open Sans"/>
          <w:lang w:eastAsia="ja-JP"/>
        </w:rPr>
        <w:t xml:space="preserve"> are an essential component of how WIOA and AEFLA services are delivered to job-seekers throughout the country.</w:t>
      </w:r>
    </w:p>
    <w:p w14:paraId="077E282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this video, we will:</w:t>
      </w:r>
    </w:p>
    <w:p w14:paraId="0DD78C5B" w14:textId="77777777" w:rsidR="00660262" w:rsidRPr="00944CCC" w:rsidRDefault="00660262" w:rsidP="0056051A">
      <w:pPr>
        <w:pStyle w:val="ListParagraph"/>
        <w:numPr>
          <w:ilvl w:val="0"/>
          <w:numId w:val="64"/>
        </w:numPr>
        <w:rPr>
          <w:rFonts w:ascii="Open Sans" w:hAnsi="Open Sans" w:cs="Open Sans"/>
          <w:lang w:eastAsia="ja-JP"/>
        </w:rPr>
      </w:pPr>
      <w:r w:rsidRPr="00944CCC">
        <w:rPr>
          <w:rFonts w:ascii="Open Sans" w:hAnsi="Open Sans" w:cs="Open Sans"/>
          <w:lang w:eastAsia="ja-JP"/>
        </w:rPr>
        <w:t>Explore the statutory basis for the one-stop delivery system</w:t>
      </w:r>
    </w:p>
    <w:p w14:paraId="21304245" w14:textId="77777777" w:rsidR="00660262" w:rsidRPr="00944CCC" w:rsidRDefault="00660262" w:rsidP="0056051A">
      <w:pPr>
        <w:pStyle w:val="ListParagraph"/>
        <w:numPr>
          <w:ilvl w:val="0"/>
          <w:numId w:val="64"/>
        </w:numPr>
        <w:rPr>
          <w:rFonts w:ascii="Open Sans" w:hAnsi="Open Sans" w:cs="Open Sans"/>
          <w:lang w:eastAsia="ja-JP"/>
        </w:rPr>
      </w:pPr>
      <w:r w:rsidRPr="00944CCC">
        <w:rPr>
          <w:rFonts w:ascii="Open Sans" w:hAnsi="Open Sans" w:cs="Open Sans"/>
          <w:lang w:eastAsia="ja-JP"/>
        </w:rPr>
        <w:t>Review basics related to one-stop systems</w:t>
      </w:r>
    </w:p>
    <w:p w14:paraId="536B2848" w14:textId="77777777" w:rsidR="00660262" w:rsidRPr="00944CCC" w:rsidRDefault="00660262" w:rsidP="0056051A">
      <w:pPr>
        <w:pStyle w:val="ListParagraph"/>
        <w:numPr>
          <w:ilvl w:val="0"/>
          <w:numId w:val="64"/>
        </w:numPr>
        <w:rPr>
          <w:rFonts w:ascii="Open Sans" w:hAnsi="Open Sans" w:cs="Open Sans"/>
          <w:lang w:eastAsia="ja-JP"/>
        </w:rPr>
      </w:pPr>
      <w:r w:rsidRPr="00944CCC">
        <w:rPr>
          <w:rFonts w:ascii="Open Sans" w:hAnsi="Open Sans" w:cs="Open Sans"/>
          <w:lang w:eastAsia="ja-JP"/>
        </w:rPr>
        <w:t>Discuss how AEFLA participation can be met</w:t>
      </w:r>
    </w:p>
    <w:p w14:paraId="50F53C7B" w14:textId="77777777" w:rsidR="00660262" w:rsidRPr="00944CCC" w:rsidRDefault="00660262" w:rsidP="0056051A">
      <w:pPr>
        <w:pStyle w:val="ListParagraph"/>
        <w:numPr>
          <w:ilvl w:val="0"/>
          <w:numId w:val="64"/>
        </w:numPr>
        <w:rPr>
          <w:rFonts w:ascii="Open Sans" w:hAnsi="Open Sans" w:cs="Open Sans"/>
          <w:lang w:eastAsia="ja-JP"/>
        </w:rPr>
      </w:pPr>
      <w:r w:rsidRPr="00944CCC">
        <w:rPr>
          <w:rFonts w:ascii="Open Sans" w:hAnsi="Open Sans" w:cs="Open Sans"/>
          <w:lang w:eastAsia="ja-JP"/>
        </w:rPr>
        <w:t>Review the roles and responsibilities of required partners, and</w:t>
      </w:r>
    </w:p>
    <w:p w14:paraId="6B1E0ADB" w14:textId="77777777" w:rsidR="00660262" w:rsidRPr="00944CCC" w:rsidRDefault="00660262" w:rsidP="0056051A">
      <w:pPr>
        <w:pStyle w:val="ListParagraph"/>
        <w:numPr>
          <w:ilvl w:val="0"/>
          <w:numId w:val="64"/>
        </w:numPr>
        <w:rPr>
          <w:rFonts w:ascii="Open Sans" w:hAnsi="Open Sans" w:cs="Open Sans"/>
          <w:lang w:eastAsia="ja-JP"/>
        </w:rPr>
      </w:pPr>
      <w:r w:rsidRPr="00944CCC">
        <w:rPr>
          <w:rFonts w:ascii="Open Sans" w:hAnsi="Open Sans" w:cs="Open Sans"/>
          <w:lang w:eastAsia="ja-JP"/>
        </w:rPr>
        <w:t xml:space="preserve">Discuss the State Eligible Agency responsibilities </w:t>
      </w:r>
    </w:p>
    <w:p w14:paraId="7A935B0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You can also find links and other resources on these topics in the Playbook.</w:t>
      </w:r>
    </w:p>
    <w:p w14:paraId="02183C45" w14:textId="77777777" w:rsidR="00660262" w:rsidRPr="00944CCC" w:rsidRDefault="00660262" w:rsidP="00944CCC">
      <w:pPr>
        <w:pStyle w:val="Heading3"/>
      </w:pPr>
      <w:bookmarkStart w:id="226" w:name="_Toc163980080"/>
      <w:bookmarkStart w:id="227" w:name="_Toc171600553"/>
      <w:r w:rsidRPr="00944CCC">
        <w:t>What is the American Job Center Network?</w:t>
      </w:r>
      <w:bookmarkEnd w:id="226"/>
      <w:bookmarkEnd w:id="227"/>
      <w:r w:rsidRPr="00944CCC">
        <w:t xml:space="preserve"> </w:t>
      </w:r>
    </w:p>
    <w:p w14:paraId="76CCC801" w14:textId="77777777" w:rsidR="00660262" w:rsidRPr="00944CCC" w:rsidRDefault="00660262" w:rsidP="0056051A">
      <w:pPr>
        <w:rPr>
          <w:rFonts w:ascii="Open Sans" w:hAnsi="Open Sans" w:cs="Open Sans"/>
          <w:lang w:eastAsia="ja-JP"/>
        </w:rPr>
      </w:pPr>
      <w:proofErr w:type="gramStart"/>
      <w:r w:rsidRPr="00944CCC">
        <w:rPr>
          <w:rFonts w:ascii="Open Sans" w:hAnsi="Open Sans" w:cs="Open Sans"/>
          <w:lang w:eastAsia="ja-JP"/>
        </w:rPr>
        <w:t>So</w:t>
      </w:r>
      <w:proofErr w:type="gramEnd"/>
      <w:r w:rsidRPr="00944CCC">
        <w:rPr>
          <w:rFonts w:ascii="Open Sans" w:hAnsi="Open Sans" w:cs="Open Sans"/>
          <w:lang w:eastAsia="ja-JP"/>
        </w:rPr>
        <w:t xml:space="preserve"> what is the American Job Center network and what does it have to do with WIOA?</w:t>
      </w:r>
    </w:p>
    <w:p w14:paraId="2921BD4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WIOA was passed in 2014 with the intent of improving the structure for delivery of services in the workforce development system, </w:t>
      </w:r>
      <w:proofErr w:type="gramStart"/>
      <w:r w:rsidRPr="00944CCC">
        <w:rPr>
          <w:rFonts w:ascii="Open Sans" w:hAnsi="Open Sans" w:cs="Open Sans"/>
          <w:lang w:eastAsia="ja-JP"/>
        </w:rPr>
        <w:t>in order to</w:t>
      </w:r>
      <w:proofErr w:type="gramEnd"/>
      <w:r w:rsidRPr="00944CCC">
        <w:rPr>
          <w:rFonts w:ascii="Open Sans" w:hAnsi="Open Sans" w:cs="Open Sans"/>
          <w:lang w:eastAsia="ja-JP"/>
        </w:rPr>
        <w:t xml:space="preserve"> better address employment and skill needs of job seekers, workers, and employers.</w:t>
      </w:r>
    </w:p>
    <w:p w14:paraId="0E66774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To accomplish this, WIOA authorizes a nationwide system of career one-stop centers, where individuals can seek a variety of employment-related services all under one roof. These “one-stop” centers are also branded as American Job Centers, or AJCs. The American Job Center network is a unifying name and brand that identifies online and in-person workforce development services as part of a single network, across the entire United States.</w:t>
      </w:r>
    </w:p>
    <w:p w14:paraId="0BFB952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AJC one-stop centers provide the opportunity to learn about any of the six WIOA core programs as well as the opportunity for an individual to lay out an employment path. That path may include improving skills and literacy, seeking support services, or simply looking for job opportunities. In any case, the one-stop can help them find what they need.</w:t>
      </w:r>
    </w:p>
    <w:p w14:paraId="4D9593E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AJC network requires specific partners to work together to manage the service delivery structure to help job seekers access employment, education, training, and support services to succeed in the labor market. It is also designed to match employers with the workers they need to compete in the global economy.</w:t>
      </w:r>
    </w:p>
    <w:p w14:paraId="7E58724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integrated structure, which we will discuss, is intended to provide comprehensive, integrated, and streamlined services </w:t>
      </w:r>
      <w:proofErr w:type="gramStart"/>
      <w:r w:rsidRPr="00944CCC">
        <w:rPr>
          <w:rFonts w:ascii="Open Sans" w:hAnsi="Open Sans" w:cs="Open Sans"/>
          <w:lang w:eastAsia="ja-JP"/>
        </w:rPr>
        <w:t>in order to</w:t>
      </w:r>
      <w:proofErr w:type="gramEnd"/>
      <w:r w:rsidRPr="00944CCC">
        <w:rPr>
          <w:rFonts w:ascii="Open Sans" w:hAnsi="Open Sans" w:cs="Open Sans"/>
          <w:lang w:eastAsia="ja-JP"/>
        </w:rPr>
        <w:t xml:space="preserve"> improve </w:t>
      </w:r>
      <w:r w:rsidRPr="00944CCC">
        <w:rPr>
          <w:rFonts w:ascii="Open Sans" w:hAnsi="Open Sans" w:cs="Open Sans"/>
          <w:lang w:eastAsia="ja-JP"/>
        </w:rPr>
        <w:lastRenderedPageBreak/>
        <w:t>responsiveness to the skill and employment needs of both the workforce and of the employers.</w:t>
      </w:r>
    </w:p>
    <w:p w14:paraId="22256B8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There are two types of one-stop centers: comprehensive centers and affiliate centers. Comprehensive one-stops provide opportunities for individuals to learn about </w:t>
      </w:r>
      <w:proofErr w:type="gramStart"/>
      <w:r w:rsidRPr="00944CCC">
        <w:rPr>
          <w:rFonts w:ascii="Open Sans" w:hAnsi="Open Sans" w:cs="Open Sans"/>
          <w:lang w:eastAsia="ja-JP"/>
        </w:rPr>
        <w:t>all of</w:t>
      </w:r>
      <w:proofErr w:type="gramEnd"/>
      <w:r w:rsidRPr="00944CCC">
        <w:rPr>
          <w:rFonts w:ascii="Open Sans" w:hAnsi="Open Sans" w:cs="Open Sans"/>
          <w:lang w:eastAsia="ja-JP"/>
        </w:rPr>
        <w:t xml:space="preserve"> the core and required programs detailed under WIOA as well as additional partner programs. The idea is to have seamless and integrated customer service. It’s very convenient for job seekers. </w:t>
      </w:r>
    </w:p>
    <w:p w14:paraId="109A1FF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Affiliate centers are smaller offices that offer a subset of the services found in the comprehensive centers.</w:t>
      </w:r>
    </w:p>
    <w:p w14:paraId="03C9E483" w14:textId="77777777" w:rsidR="00660262" w:rsidRPr="00944CCC" w:rsidRDefault="00660262" w:rsidP="0056051A">
      <w:pPr>
        <w:rPr>
          <w:rFonts w:ascii="Open Sans" w:hAnsi="Open Sans" w:cs="Open Sans"/>
          <w:lang w:eastAsia="ja-JP"/>
        </w:rPr>
      </w:pPr>
      <w:proofErr w:type="gramStart"/>
      <w:r w:rsidRPr="00944CCC">
        <w:rPr>
          <w:rFonts w:ascii="Open Sans" w:hAnsi="Open Sans" w:cs="Open Sans"/>
          <w:lang w:eastAsia="ja-JP"/>
        </w:rPr>
        <w:t>In order to</w:t>
      </w:r>
      <w:proofErr w:type="gramEnd"/>
      <w:r w:rsidRPr="00944CCC">
        <w:rPr>
          <w:rFonts w:ascii="Open Sans" w:hAnsi="Open Sans" w:cs="Open Sans"/>
          <w:lang w:eastAsia="ja-JP"/>
        </w:rPr>
        <w:t xml:space="preserve"> help job-seekers access employment, education, training, and support services to succeed in the labor market, WIOA requires specific programs and partners to be accessible at the AJC one-stop centers.</w:t>
      </w:r>
    </w:p>
    <w:p w14:paraId="7350208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One-stops must include the six WIOA core programs, required partner programs, and can also include other one-stop partner programs and employment and training programs.</w:t>
      </w:r>
    </w:p>
    <w:p w14:paraId="63FC919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core programs are defined in WIOA and include three title I programs, which are the adult, dislocated worker, and youth programs; as well as the title II AEFLA program; and the title III Wagner-Peyser Act program; and the title IV vocational rehabilitation program.</w:t>
      </w:r>
    </w:p>
    <w:p w14:paraId="6B6A30A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the six WIOA core programs, the required one-stop partner programs are: Senior Community Service Employment program, the Carl D. Perkins Career and Technical Education program, Jobs for Veterans State Grants, Community Services Block Grants, employment and training activities in HUD, Unemployment Insurance, and Temporary Assistance for Needy Families.</w:t>
      </w:r>
    </w:p>
    <w:p w14:paraId="63DA99D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local board can recognize any federal, State, or local education and/or training programs or even the private sector for inclusion in the local workforce delivery system as additional one-stop partners. Additional partners can include employment and training programs administered by Social Security, such as Ticket to Work and the Self-sufficiency Program, the U.S. Department of Agriculture’s SNAP employment and training programs, or other programs that may complement or streamline service delivery.</w:t>
      </w:r>
    </w:p>
    <w:p w14:paraId="544BC4A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 list of one-stop partner programs can be found in WIOA section 121(b).</w:t>
      </w:r>
    </w:p>
    <w:p w14:paraId="79C46A26" w14:textId="77777777" w:rsidR="00660262" w:rsidRPr="00944CCC" w:rsidRDefault="00660262" w:rsidP="00944CCC">
      <w:pPr>
        <w:pStyle w:val="Heading3"/>
      </w:pPr>
      <w:bookmarkStart w:id="228" w:name="_Toc163980081"/>
      <w:bookmarkStart w:id="229" w:name="_Toc171600554"/>
      <w:r w:rsidRPr="00944CCC">
        <w:t>Statutory Requirements for One-stop Centers</w:t>
      </w:r>
      <w:bookmarkEnd w:id="228"/>
      <w:bookmarkEnd w:id="229"/>
    </w:p>
    <w:p w14:paraId="7F291D1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addition to the statutory lists of </w:t>
      </w:r>
      <w:proofErr w:type="gramStart"/>
      <w:r w:rsidRPr="00944CCC">
        <w:rPr>
          <w:rFonts w:ascii="Open Sans" w:hAnsi="Open Sans" w:cs="Open Sans"/>
          <w:lang w:eastAsia="ja-JP"/>
        </w:rPr>
        <w:t>core</w:t>
      </w:r>
      <w:proofErr w:type="gramEnd"/>
      <w:r w:rsidRPr="00944CCC">
        <w:rPr>
          <w:rFonts w:ascii="Open Sans" w:hAnsi="Open Sans" w:cs="Open Sans"/>
          <w:lang w:eastAsia="ja-JP"/>
        </w:rPr>
        <w:t>, required, and partner programs, WIOA provides several other requirements for one-stop centers.</w:t>
      </w:r>
    </w:p>
    <w:p w14:paraId="674D6A0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According to the law, at least one comprehensive, physical one-stop center must be present in each local workforce area. And each comprehensive center must have the following:</w:t>
      </w:r>
    </w:p>
    <w:p w14:paraId="1FEA29D9" w14:textId="77777777" w:rsidR="00660262" w:rsidRPr="00944CCC" w:rsidRDefault="00660262" w:rsidP="0056051A">
      <w:pPr>
        <w:pStyle w:val="ListParagraph"/>
        <w:numPr>
          <w:ilvl w:val="0"/>
          <w:numId w:val="65"/>
        </w:numPr>
        <w:rPr>
          <w:rFonts w:ascii="Open Sans" w:hAnsi="Open Sans" w:cs="Open Sans"/>
          <w:lang w:eastAsia="ja-JP"/>
        </w:rPr>
      </w:pPr>
      <w:r w:rsidRPr="00944CCC">
        <w:rPr>
          <w:rFonts w:ascii="Open Sans" w:hAnsi="Open Sans" w:cs="Open Sans"/>
          <w:lang w:eastAsia="ja-JP"/>
        </w:rPr>
        <w:t>At least one title I staff present</w:t>
      </w:r>
    </w:p>
    <w:p w14:paraId="75543B5A" w14:textId="77777777" w:rsidR="00660262" w:rsidRPr="00944CCC" w:rsidRDefault="00660262" w:rsidP="0056051A">
      <w:pPr>
        <w:pStyle w:val="ListParagraph"/>
        <w:numPr>
          <w:ilvl w:val="0"/>
          <w:numId w:val="65"/>
        </w:numPr>
        <w:rPr>
          <w:rFonts w:ascii="Open Sans" w:hAnsi="Open Sans" w:cs="Open Sans"/>
          <w:lang w:eastAsia="ja-JP"/>
        </w:rPr>
      </w:pPr>
      <w:r w:rsidRPr="00944CCC">
        <w:rPr>
          <w:rFonts w:ascii="Open Sans" w:hAnsi="Open Sans" w:cs="Open Sans"/>
          <w:lang w:eastAsia="ja-JP"/>
        </w:rPr>
        <w:t>Career services provided by all partners</w:t>
      </w:r>
    </w:p>
    <w:p w14:paraId="3B75DD83" w14:textId="77777777" w:rsidR="00660262" w:rsidRPr="00944CCC" w:rsidRDefault="00660262" w:rsidP="0056051A">
      <w:pPr>
        <w:pStyle w:val="ListParagraph"/>
        <w:numPr>
          <w:ilvl w:val="0"/>
          <w:numId w:val="65"/>
        </w:numPr>
        <w:rPr>
          <w:rFonts w:ascii="Open Sans" w:hAnsi="Open Sans" w:cs="Open Sans"/>
          <w:lang w:eastAsia="ja-JP"/>
        </w:rPr>
      </w:pPr>
      <w:r w:rsidRPr="00944CCC">
        <w:rPr>
          <w:rFonts w:ascii="Open Sans" w:hAnsi="Open Sans" w:cs="Open Sans"/>
          <w:lang w:eastAsia="ja-JP"/>
        </w:rPr>
        <w:t>Access to training services</w:t>
      </w:r>
    </w:p>
    <w:p w14:paraId="33BFC122" w14:textId="77777777" w:rsidR="00660262" w:rsidRPr="00944CCC" w:rsidRDefault="00660262" w:rsidP="0056051A">
      <w:pPr>
        <w:pStyle w:val="ListParagraph"/>
        <w:numPr>
          <w:ilvl w:val="0"/>
          <w:numId w:val="65"/>
        </w:numPr>
        <w:rPr>
          <w:rFonts w:ascii="Open Sans" w:hAnsi="Open Sans" w:cs="Open Sans"/>
          <w:lang w:eastAsia="ja-JP"/>
        </w:rPr>
      </w:pPr>
      <w:r w:rsidRPr="00944CCC">
        <w:rPr>
          <w:rFonts w:ascii="Open Sans" w:hAnsi="Open Sans" w:cs="Open Sans"/>
          <w:lang w:eastAsia="ja-JP"/>
        </w:rPr>
        <w:t>Access to partner program services, and</w:t>
      </w:r>
    </w:p>
    <w:p w14:paraId="5E610752" w14:textId="77777777" w:rsidR="00660262" w:rsidRPr="00944CCC" w:rsidRDefault="00660262" w:rsidP="0056051A">
      <w:pPr>
        <w:pStyle w:val="ListParagraph"/>
        <w:numPr>
          <w:ilvl w:val="0"/>
          <w:numId w:val="65"/>
        </w:numPr>
        <w:rPr>
          <w:rFonts w:ascii="Open Sans" w:hAnsi="Open Sans" w:cs="Open Sans"/>
          <w:lang w:eastAsia="ja-JP"/>
        </w:rPr>
      </w:pPr>
      <w:r w:rsidRPr="00944CCC">
        <w:rPr>
          <w:rFonts w:ascii="Open Sans" w:hAnsi="Open Sans" w:cs="Open Sans"/>
          <w:lang w:eastAsia="ja-JP"/>
        </w:rPr>
        <w:t>Workforce/labor market information</w:t>
      </w:r>
    </w:p>
    <w:p w14:paraId="4B62CA0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That’s the minimum, but a job center can be much more. In fact, comprehensive one-stops can also be where specific services, such as literacy classes, are offered. Workforce areas may also have affiliate, or specialized, sites. These are locations that serve customers who cannot easily travel to a comprehensive AJC or who might want specialized services, including services specific to a particular job sector.</w:t>
      </w:r>
    </w:p>
    <w:p w14:paraId="27EE38D4" w14:textId="77777777" w:rsidR="00660262" w:rsidRPr="00944CCC" w:rsidRDefault="00660262" w:rsidP="00944CCC">
      <w:pPr>
        <w:pStyle w:val="Heading3"/>
      </w:pPr>
      <w:bookmarkStart w:id="230" w:name="_Toc163980082"/>
      <w:bookmarkStart w:id="231" w:name="_Toc171600555"/>
      <w:r w:rsidRPr="00944CCC">
        <w:t>Career and Training Services</w:t>
      </w:r>
      <w:bookmarkEnd w:id="230"/>
      <w:bookmarkEnd w:id="231"/>
    </w:p>
    <w:p w14:paraId="7906EA4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Career services and training services are defined and explained in WIOA section 134 and further defined in the Office of Career, Technical, and Adult Education, or OCTAE, Program Memo 17-2, which is included in the Playbook. </w:t>
      </w:r>
    </w:p>
    <w:p w14:paraId="195616F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Career services are not new but defining them collectively and the requirements to track and report them are new under WIOA. For WIOA reporting, the number of people receiving these services and the money spent on them are reported annually.</w:t>
      </w:r>
    </w:p>
    <w:p w14:paraId="16BB905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statute includes general lists of the types of activities that are considered career or training services. The core program agencies defined career and training services in guidance which can be found in OCTAE Program Memo 17-2 to help States and local providers determine which activities are considered career services and which are training services for each program. Information about title II career services is found in Attachment 7, Table C of OCTAE Program Memo 17-2.</w:t>
      </w:r>
    </w:p>
    <w:p w14:paraId="349D438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list includes services provided to all students, such as: </w:t>
      </w:r>
    </w:p>
    <w:p w14:paraId="10357249" w14:textId="77777777" w:rsidR="00660262" w:rsidRPr="00944CCC" w:rsidRDefault="00660262" w:rsidP="0056051A">
      <w:pPr>
        <w:pStyle w:val="ListParagraph"/>
        <w:numPr>
          <w:ilvl w:val="0"/>
          <w:numId w:val="66"/>
        </w:numPr>
        <w:rPr>
          <w:rFonts w:ascii="Open Sans" w:hAnsi="Open Sans" w:cs="Open Sans"/>
          <w:lang w:eastAsia="ja-JP"/>
        </w:rPr>
      </w:pPr>
      <w:r w:rsidRPr="00944CCC">
        <w:rPr>
          <w:rFonts w:ascii="Open Sans" w:hAnsi="Open Sans" w:cs="Open Sans"/>
          <w:lang w:eastAsia="ja-JP"/>
        </w:rPr>
        <w:t>Outreach, intake, and orientation</w:t>
      </w:r>
    </w:p>
    <w:p w14:paraId="6D6E09DF" w14:textId="77777777" w:rsidR="00660262" w:rsidRPr="00944CCC" w:rsidRDefault="00660262" w:rsidP="0056051A">
      <w:pPr>
        <w:pStyle w:val="ListParagraph"/>
        <w:numPr>
          <w:ilvl w:val="0"/>
          <w:numId w:val="66"/>
        </w:numPr>
        <w:rPr>
          <w:rFonts w:ascii="Open Sans" w:hAnsi="Open Sans" w:cs="Open Sans"/>
          <w:lang w:eastAsia="ja-JP"/>
        </w:rPr>
      </w:pPr>
      <w:r w:rsidRPr="00944CCC">
        <w:rPr>
          <w:rFonts w:ascii="Open Sans" w:hAnsi="Open Sans" w:cs="Open Sans"/>
          <w:lang w:eastAsia="ja-JP"/>
        </w:rPr>
        <w:t>Assessment of literacy and numeracy skills, other aptitudes and abilities, and support services needs</w:t>
      </w:r>
    </w:p>
    <w:p w14:paraId="317DA86C" w14:textId="77777777" w:rsidR="00660262" w:rsidRPr="00944CCC" w:rsidRDefault="00660262" w:rsidP="0056051A">
      <w:pPr>
        <w:pStyle w:val="ListParagraph"/>
        <w:numPr>
          <w:ilvl w:val="0"/>
          <w:numId w:val="66"/>
        </w:numPr>
        <w:rPr>
          <w:rFonts w:ascii="Open Sans" w:hAnsi="Open Sans" w:cs="Open Sans"/>
          <w:lang w:eastAsia="ja-JP"/>
        </w:rPr>
      </w:pPr>
      <w:r w:rsidRPr="00944CCC">
        <w:rPr>
          <w:rFonts w:ascii="Open Sans" w:hAnsi="Open Sans" w:cs="Open Sans"/>
          <w:lang w:eastAsia="ja-JP"/>
        </w:rPr>
        <w:t>Referrals and coordination with other services</w:t>
      </w:r>
    </w:p>
    <w:p w14:paraId="3CB30D2D" w14:textId="77777777" w:rsidR="00660262" w:rsidRPr="00944CCC" w:rsidRDefault="00660262" w:rsidP="0056051A">
      <w:pPr>
        <w:pStyle w:val="ListParagraph"/>
        <w:numPr>
          <w:ilvl w:val="0"/>
          <w:numId w:val="66"/>
        </w:numPr>
        <w:rPr>
          <w:rFonts w:ascii="Open Sans" w:hAnsi="Open Sans" w:cs="Open Sans"/>
          <w:lang w:eastAsia="ja-JP"/>
        </w:rPr>
      </w:pPr>
      <w:r w:rsidRPr="00944CCC">
        <w:rPr>
          <w:rFonts w:ascii="Open Sans" w:hAnsi="Open Sans" w:cs="Open Sans"/>
          <w:lang w:eastAsia="ja-JP"/>
        </w:rPr>
        <w:t>Providing performance and program cost information on eligible local providers, and</w:t>
      </w:r>
    </w:p>
    <w:p w14:paraId="3C0D5E4D" w14:textId="77777777" w:rsidR="00660262" w:rsidRPr="00944CCC" w:rsidRDefault="00660262" w:rsidP="0056051A">
      <w:pPr>
        <w:pStyle w:val="ListParagraph"/>
        <w:numPr>
          <w:ilvl w:val="0"/>
          <w:numId w:val="66"/>
        </w:numPr>
        <w:rPr>
          <w:rFonts w:ascii="Open Sans" w:hAnsi="Open Sans" w:cs="Open Sans"/>
          <w:lang w:eastAsia="ja-JP"/>
        </w:rPr>
      </w:pPr>
      <w:r w:rsidRPr="00944CCC">
        <w:rPr>
          <w:rFonts w:ascii="Open Sans" w:hAnsi="Open Sans" w:cs="Open Sans"/>
          <w:lang w:eastAsia="ja-JP"/>
        </w:rPr>
        <w:lastRenderedPageBreak/>
        <w:t xml:space="preserve">Providing information to students about supportive services and programs </w:t>
      </w:r>
      <w:proofErr w:type="gramStart"/>
      <w:r w:rsidRPr="00944CCC">
        <w:rPr>
          <w:rFonts w:ascii="Open Sans" w:hAnsi="Open Sans" w:cs="Open Sans"/>
          <w:lang w:eastAsia="ja-JP"/>
        </w:rPr>
        <w:t>offering assistance</w:t>
      </w:r>
      <w:proofErr w:type="gramEnd"/>
    </w:p>
    <w:p w14:paraId="67E7797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So, basically, all adult education students receive career services.</w:t>
      </w:r>
    </w:p>
    <w:p w14:paraId="362C1E6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only training service that title II reports annually is Integrated Education and Training, or IETs. For more information on IETs, watch our videos on WIOA Basics and check out the Playbook for additional resources.</w:t>
      </w:r>
    </w:p>
    <w:p w14:paraId="55982505" w14:textId="77777777" w:rsidR="00660262" w:rsidRPr="00944CCC" w:rsidRDefault="00660262" w:rsidP="00944CCC">
      <w:pPr>
        <w:pStyle w:val="Heading3"/>
      </w:pPr>
      <w:bookmarkStart w:id="232" w:name="_Toc163980083"/>
      <w:bookmarkStart w:id="233" w:name="_Toc171600556"/>
      <w:r w:rsidRPr="00944CCC">
        <w:t>Responsibilities of the State Eligible Agency</w:t>
      </w:r>
      <w:bookmarkEnd w:id="232"/>
      <w:bookmarkEnd w:id="233"/>
    </w:p>
    <w:p w14:paraId="48D1207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An important feature of the one-stop system is the role played by the State Eligible Agency.</w:t>
      </w:r>
    </w:p>
    <w:p w14:paraId="19D71B1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State Eligible Agency is the required one-stop partner for AEFLA. For some States, that’s the State education agency, for others it may be the community college system or the labor or workforce agency.</w:t>
      </w:r>
    </w:p>
    <w:p w14:paraId="6C3650F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Either way, that agency must represent AEFLA in each comprehensive one-stop in the State. The agency may delegate the one-stop roles and responsibilities to one or more eligible local providers or a consortium of eligible providers for a particular program in each local area. This designation allows the State agency to fulfill its duties throughout the State in each local workforce area.</w:t>
      </w:r>
    </w:p>
    <w:p w14:paraId="7ACCDBE2"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State agency may participate in affiliate or specialized centers, as well.</w:t>
      </w:r>
    </w:p>
    <w:p w14:paraId="201C6A4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Let’s talk about the specific responsibilities of the State agency in the one-stops. We can summarize these responsibilities into four categories, which are: </w:t>
      </w:r>
    </w:p>
    <w:p w14:paraId="7D272041" w14:textId="77777777" w:rsidR="00660262" w:rsidRPr="00944CCC" w:rsidRDefault="00660262" w:rsidP="0056051A">
      <w:pPr>
        <w:pStyle w:val="ListParagraph"/>
        <w:numPr>
          <w:ilvl w:val="0"/>
          <w:numId w:val="67"/>
        </w:numPr>
        <w:rPr>
          <w:rFonts w:ascii="Open Sans" w:hAnsi="Open Sans" w:cs="Open Sans"/>
          <w:lang w:eastAsia="ja-JP"/>
        </w:rPr>
      </w:pPr>
      <w:r w:rsidRPr="00944CCC">
        <w:rPr>
          <w:rFonts w:ascii="Open Sans" w:hAnsi="Open Sans" w:cs="Open Sans"/>
          <w:lang w:eastAsia="ja-JP"/>
        </w:rPr>
        <w:t>Access</w:t>
      </w:r>
    </w:p>
    <w:p w14:paraId="610D495C" w14:textId="77777777" w:rsidR="00660262" w:rsidRPr="00944CCC" w:rsidRDefault="00660262" w:rsidP="0056051A">
      <w:pPr>
        <w:pStyle w:val="ListParagraph"/>
        <w:numPr>
          <w:ilvl w:val="0"/>
          <w:numId w:val="67"/>
        </w:numPr>
        <w:rPr>
          <w:rFonts w:ascii="Open Sans" w:hAnsi="Open Sans" w:cs="Open Sans"/>
          <w:lang w:eastAsia="ja-JP"/>
        </w:rPr>
      </w:pPr>
      <w:r w:rsidRPr="00944CCC">
        <w:rPr>
          <w:rFonts w:ascii="Open Sans" w:hAnsi="Open Sans" w:cs="Open Sans"/>
          <w:lang w:eastAsia="ja-JP"/>
        </w:rPr>
        <w:t>Funding</w:t>
      </w:r>
    </w:p>
    <w:p w14:paraId="55C4300D" w14:textId="77777777" w:rsidR="00660262" w:rsidRPr="00944CCC" w:rsidRDefault="00660262" w:rsidP="0056051A">
      <w:pPr>
        <w:pStyle w:val="ListParagraph"/>
        <w:numPr>
          <w:ilvl w:val="0"/>
          <w:numId w:val="67"/>
        </w:numPr>
        <w:rPr>
          <w:rFonts w:ascii="Open Sans" w:hAnsi="Open Sans" w:cs="Open Sans"/>
          <w:lang w:eastAsia="ja-JP"/>
        </w:rPr>
      </w:pPr>
      <w:proofErr w:type="gramStart"/>
      <w:r w:rsidRPr="00944CCC">
        <w:rPr>
          <w:rFonts w:ascii="Open Sans" w:hAnsi="Open Sans" w:cs="Open Sans"/>
          <w:lang w:eastAsia="ja-JP"/>
        </w:rPr>
        <w:t>Entering into</w:t>
      </w:r>
      <w:proofErr w:type="gramEnd"/>
      <w:r w:rsidRPr="00944CCC">
        <w:rPr>
          <w:rFonts w:ascii="Open Sans" w:hAnsi="Open Sans" w:cs="Open Sans"/>
          <w:lang w:eastAsia="ja-JP"/>
        </w:rPr>
        <w:t xml:space="preserve"> a memorandum of understanding, and</w:t>
      </w:r>
    </w:p>
    <w:p w14:paraId="6274568F" w14:textId="77777777" w:rsidR="00660262" w:rsidRPr="00944CCC" w:rsidRDefault="00660262" w:rsidP="0056051A">
      <w:pPr>
        <w:pStyle w:val="ListParagraph"/>
        <w:numPr>
          <w:ilvl w:val="0"/>
          <w:numId w:val="67"/>
        </w:numPr>
        <w:rPr>
          <w:rFonts w:ascii="Open Sans" w:hAnsi="Open Sans" w:cs="Open Sans"/>
          <w:lang w:eastAsia="ja-JP"/>
        </w:rPr>
      </w:pPr>
      <w:r w:rsidRPr="00944CCC">
        <w:rPr>
          <w:rFonts w:ascii="Open Sans" w:hAnsi="Open Sans" w:cs="Open Sans"/>
          <w:lang w:eastAsia="ja-JP"/>
        </w:rPr>
        <w:t>Operation.</w:t>
      </w:r>
    </w:p>
    <w:p w14:paraId="2429A51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first responsibility is to provide access to adult education and literacy programs and services, including the career services discussed earlier. The one-stop must ensure the availability of information at all one-stop center physical locations and access points, including electronic access points. This can happen in any of the following three ways:</w:t>
      </w:r>
    </w:p>
    <w:p w14:paraId="6CAFF1FE" w14:textId="77777777" w:rsidR="00660262" w:rsidRPr="00944CCC" w:rsidRDefault="00660262" w:rsidP="0056051A">
      <w:pPr>
        <w:pStyle w:val="ListParagraph"/>
        <w:numPr>
          <w:ilvl w:val="0"/>
          <w:numId w:val="68"/>
        </w:numPr>
        <w:rPr>
          <w:rFonts w:ascii="Open Sans" w:hAnsi="Open Sans" w:cs="Open Sans"/>
          <w:lang w:eastAsia="ja-JP"/>
        </w:rPr>
      </w:pPr>
      <w:r w:rsidRPr="00944CCC">
        <w:rPr>
          <w:rFonts w:ascii="Open Sans" w:hAnsi="Open Sans" w:cs="Open Sans"/>
          <w:lang w:eastAsia="ja-JP"/>
        </w:rPr>
        <w:t>Have AEFLA program staff physically present at the one-stop</w:t>
      </w:r>
    </w:p>
    <w:p w14:paraId="34E3A0C6" w14:textId="77777777" w:rsidR="00660262" w:rsidRPr="00944CCC" w:rsidRDefault="00660262" w:rsidP="0056051A">
      <w:pPr>
        <w:pStyle w:val="ListParagraph"/>
        <w:numPr>
          <w:ilvl w:val="0"/>
          <w:numId w:val="68"/>
        </w:numPr>
        <w:rPr>
          <w:rFonts w:ascii="Open Sans" w:hAnsi="Open Sans" w:cs="Open Sans"/>
          <w:lang w:eastAsia="ja-JP"/>
        </w:rPr>
      </w:pPr>
      <w:r w:rsidRPr="00944CCC">
        <w:rPr>
          <w:rFonts w:ascii="Open Sans" w:hAnsi="Open Sans" w:cs="Open Sans"/>
          <w:lang w:eastAsia="ja-JP"/>
        </w:rPr>
        <w:t>Train partner staff who are physically present at the one-stop so they can provide AEFLA program information and services, and/or</w:t>
      </w:r>
    </w:p>
    <w:p w14:paraId="1B9B9D61" w14:textId="77777777" w:rsidR="00660262" w:rsidRPr="00944CCC" w:rsidRDefault="00660262" w:rsidP="0056051A">
      <w:pPr>
        <w:pStyle w:val="ListParagraph"/>
        <w:numPr>
          <w:ilvl w:val="0"/>
          <w:numId w:val="68"/>
        </w:numPr>
        <w:rPr>
          <w:rFonts w:ascii="Open Sans" w:hAnsi="Open Sans" w:cs="Open Sans"/>
          <w:lang w:eastAsia="ja-JP"/>
        </w:rPr>
      </w:pPr>
      <w:r w:rsidRPr="00944CCC">
        <w:rPr>
          <w:rFonts w:ascii="Open Sans" w:hAnsi="Open Sans" w:cs="Open Sans"/>
          <w:lang w:eastAsia="ja-JP"/>
        </w:rPr>
        <w:t xml:space="preserve">Have direct linkages through technology to AEFLA program staff who can provide meaningful information or services, within a reasonable time. This linkage can be through phone or through real-time Web-based </w:t>
      </w:r>
      <w:r w:rsidRPr="00944CCC">
        <w:rPr>
          <w:rFonts w:ascii="Open Sans" w:hAnsi="Open Sans" w:cs="Open Sans"/>
          <w:lang w:eastAsia="ja-JP"/>
        </w:rPr>
        <w:lastRenderedPageBreak/>
        <w:t>communication. Direct linkages do not include simply providing a phone number, website, pamphlets, or other written materials.</w:t>
      </w:r>
    </w:p>
    <w:p w14:paraId="3BF156B9" w14:textId="77777777" w:rsidR="00660262" w:rsidRPr="00944CCC" w:rsidRDefault="00660262" w:rsidP="0056051A">
      <w:pPr>
        <w:rPr>
          <w:rFonts w:ascii="Open Sans" w:hAnsi="Open Sans" w:cs="Open Sans"/>
          <w:lang w:eastAsia="ja-JP"/>
        </w:rPr>
      </w:pPr>
      <w:bookmarkStart w:id="234" w:name="_Hlk57733886"/>
      <w:bookmarkEnd w:id="234"/>
      <w:r w:rsidRPr="00944CCC">
        <w:rPr>
          <w:rFonts w:ascii="Open Sans" w:hAnsi="Open Sans" w:cs="Open Sans"/>
          <w:lang w:eastAsia="ja-JP"/>
        </w:rPr>
        <w:t>Another responsibility of the State agency is to use AEFLA dollars to fund the</w:t>
      </w:r>
      <w:r w:rsidRPr="00944CCC">
        <w:rPr>
          <w:rFonts w:ascii="Open Sans" w:hAnsi="Open Sans" w:cs="Open Sans"/>
          <w:b/>
          <w:bCs/>
          <w:lang w:eastAsia="ja-JP"/>
        </w:rPr>
        <w:t xml:space="preserve"> </w:t>
      </w:r>
      <w:r w:rsidRPr="00944CCC">
        <w:rPr>
          <w:rFonts w:ascii="Open Sans" w:hAnsi="Open Sans" w:cs="Open Sans"/>
          <w:lang w:eastAsia="ja-JP"/>
        </w:rPr>
        <w:t>infrastructure of the comprehensive job centers and support additional costs, including applicable career services. Partners must determine infrastructure contributions based on the proportionate use of the one-stop centers and relative benefits received.</w:t>
      </w:r>
    </w:p>
    <w:p w14:paraId="3498D1C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Also, remember, States must track and annually report the numbers of individuals served and exact costs for career services.</w:t>
      </w:r>
    </w:p>
    <w:p w14:paraId="65B549BC"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State Eligible Agency also has the responsibility to </w:t>
      </w:r>
      <w:proofErr w:type="gramStart"/>
      <w:r w:rsidRPr="00944CCC">
        <w:rPr>
          <w:rFonts w:ascii="Open Sans" w:hAnsi="Open Sans" w:cs="Open Sans"/>
          <w:lang w:eastAsia="ja-JP"/>
        </w:rPr>
        <w:t>enter into</w:t>
      </w:r>
      <w:proofErr w:type="gramEnd"/>
      <w:r w:rsidRPr="00944CCC">
        <w:rPr>
          <w:rFonts w:ascii="Open Sans" w:hAnsi="Open Sans" w:cs="Open Sans"/>
          <w:lang w:eastAsia="ja-JP"/>
        </w:rPr>
        <w:t xml:space="preserve"> a memorandum of understanding, or MOU, with the one-stop partners. The MOU describes exactly how the AEFLA partner funds the infrastructure costs and provides the specifics of the one-stop partnership.</w:t>
      </w:r>
    </w:p>
    <w:p w14:paraId="76DAAE3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These MOUs are required, and they establish the roles and responsibilities of the local workforce board, the chief elected official, and each of the partners. Like the responsibility for negotiating MOUs, the State Eligible Agency can delegate all or part of its AEFLA responsibilities identified in the MOU to the local providers. If that’s done, then the State agency must monitor the local providers to ensure the MOUs are implemented correctly and compliantly.</w:t>
      </w:r>
    </w:p>
    <w:p w14:paraId="3E59D2D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There are nine elements of the </w:t>
      </w:r>
      <w:proofErr w:type="gramStart"/>
      <w:r w:rsidRPr="00944CCC">
        <w:rPr>
          <w:rFonts w:ascii="Open Sans" w:hAnsi="Open Sans" w:cs="Open Sans"/>
          <w:lang w:eastAsia="ja-JP"/>
        </w:rPr>
        <w:t>MOU</w:t>
      </w:r>
      <w:proofErr w:type="gramEnd"/>
      <w:r w:rsidRPr="00944CCC">
        <w:rPr>
          <w:rFonts w:ascii="Open Sans" w:hAnsi="Open Sans" w:cs="Open Sans"/>
          <w:lang w:eastAsia="ja-JP"/>
        </w:rPr>
        <w:t xml:space="preserve"> and they are:</w:t>
      </w:r>
    </w:p>
    <w:p w14:paraId="16FB3756" w14:textId="77777777" w:rsidR="00660262" w:rsidRPr="00944CCC" w:rsidRDefault="00660262" w:rsidP="0056051A">
      <w:pPr>
        <w:pStyle w:val="ListParagraph"/>
        <w:numPr>
          <w:ilvl w:val="0"/>
          <w:numId w:val="69"/>
        </w:numPr>
        <w:rPr>
          <w:rFonts w:ascii="Open Sans" w:hAnsi="Open Sans" w:cs="Open Sans"/>
          <w:lang w:eastAsia="ja-JP"/>
        </w:rPr>
      </w:pPr>
      <w:r w:rsidRPr="00944CCC">
        <w:rPr>
          <w:rFonts w:ascii="Open Sans" w:hAnsi="Open Sans" w:cs="Open Sans"/>
          <w:lang w:eastAsia="ja-JP"/>
        </w:rPr>
        <w:t>A description of services provided by each partner</w:t>
      </w:r>
    </w:p>
    <w:p w14:paraId="3E86A9EC" w14:textId="77777777" w:rsidR="00660262" w:rsidRPr="00944CCC" w:rsidRDefault="00660262" w:rsidP="0056051A">
      <w:pPr>
        <w:pStyle w:val="ListParagraph"/>
        <w:numPr>
          <w:ilvl w:val="0"/>
          <w:numId w:val="69"/>
        </w:numPr>
        <w:rPr>
          <w:rFonts w:ascii="Open Sans" w:hAnsi="Open Sans" w:cs="Open Sans"/>
          <w:lang w:eastAsia="ja-JP"/>
        </w:rPr>
      </w:pPr>
      <w:r w:rsidRPr="00944CCC">
        <w:rPr>
          <w:rFonts w:ascii="Open Sans" w:hAnsi="Open Sans" w:cs="Open Sans"/>
          <w:lang w:eastAsia="ja-JP"/>
        </w:rPr>
        <w:t>The operating budget for the center</w:t>
      </w:r>
    </w:p>
    <w:p w14:paraId="4F3187BE" w14:textId="77777777" w:rsidR="00660262" w:rsidRPr="00944CCC" w:rsidRDefault="00660262" w:rsidP="0056051A">
      <w:pPr>
        <w:pStyle w:val="ListParagraph"/>
        <w:numPr>
          <w:ilvl w:val="0"/>
          <w:numId w:val="69"/>
        </w:numPr>
        <w:rPr>
          <w:rFonts w:ascii="Open Sans" w:hAnsi="Open Sans" w:cs="Open Sans"/>
          <w:lang w:eastAsia="ja-JP"/>
        </w:rPr>
      </w:pPr>
      <w:r w:rsidRPr="00944CCC">
        <w:rPr>
          <w:rFonts w:ascii="Open Sans" w:hAnsi="Open Sans" w:cs="Open Sans"/>
          <w:lang w:eastAsia="ja-JP"/>
        </w:rPr>
        <w:t>What each partner contributes</w:t>
      </w:r>
    </w:p>
    <w:p w14:paraId="3A316907" w14:textId="77777777" w:rsidR="00660262" w:rsidRPr="00944CCC" w:rsidRDefault="00660262" w:rsidP="0056051A">
      <w:pPr>
        <w:pStyle w:val="ListParagraph"/>
        <w:numPr>
          <w:ilvl w:val="0"/>
          <w:numId w:val="69"/>
        </w:numPr>
        <w:rPr>
          <w:rFonts w:ascii="Open Sans" w:hAnsi="Open Sans" w:cs="Open Sans"/>
          <w:lang w:eastAsia="ja-JP"/>
        </w:rPr>
      </w:pPr>
      <w:r w:rsidRPr="00944CCC">
        <w:rPr>
          <w:rFonts w:ascii="Open Sans" w:hAnsi="Open Sans" w:cs="Open Sans"/>
          <w:lang w:eastAsia="ja-JP"/>
        </w:rPr>
        <w:t>The methods that will be used to refer eligible individuals to the programs they need</w:t>
      </w:r>
    </w:p>
    <w:p w14:paraId="149705B1" w14:textId="77777777" w:rsidR="00660262" w:rsidRPr="00944CCC" w:rsidRDefault="00660262" w:rsidP="0056051A">
      <w:pPr>
        <w:pStyle w:val="ListParagraph"/>
        <w:numPr>
          <w:ilvl w:val="0"/>
          <w:numId w:val="69"/>
        </w:numPr>
        <w:rPr>
          <w:rFonts w:ascii="Open Sans" w:hAnsi="Open Sans" w:cs="Open Sans"/>
          <w:lang w:eastAsia="ja-JP"/>
        </w:rPr>
      </w:pPr>
      <w:r w:rsidRPr="00944CCC">
        <w:rPr>
          <w:rFonts w:ascii="Open Sans" w:hAnsi="Open Sans" w:cs="Open Sans"/>
          <w:lang w:eastAsia="ja-JP"/>
        </w:rPr>
        <w:t>How the partners will ensure access of those with barriers to services</w:t>
      </w:r>
    </w:p>
    <w:p w14:paraId="00C20A1B" w14:textId="77777777" w:rsidR="00660262" w:rsidRPr="00944CCC" w:rsidRDefault="00660262" w:rsidP="0056051A">
      <w:pPr>
        <w:pStyle w:val="ListParagraph"/>
        <w:numPr>
          <w:ilvl w:val="0"/>
          <w:numId w:val="69"/>
        </w:numPr>
        <w:rPr>
          <w:rFonts w:ascii="Open Sans" w:hAnsi="Open Sans" w:cs="Open Sans"/>
          <w:lang w:eastAsia="ja-JP"/>
        </w:rPr>
      </w:pPr>
      <w:r w:rsidRPr="00944CCC">
        <w:rPr>
          <w:rFonts w:ascii="Open Sans" w:hAnsi="Open Sans" w:cs="Open Sans"/>
          <w:lang w:eastAsia="ja-JP"/>
        </w:rPr>
        <w:t>The duration of the agreement</w:t>
      </w:r>
    </w:p>
    <w:p w14:paraId="2F0A6721" w14:textId="77777777" w:rsidR="00660262" w:rsidRPr="00944CCC" w:rsidRDefault="00660262" w:rsidP="0056051A">
      <w:pPr>
        <w:pStyle w:val="ListParagraph"/>
        <w:numPr>
          <w:ilvl w:val="0"/>
          <w:numId w:val="69"/>
        </w:numPr>
        <w:rPr>
          <w:rFonts w:ascii="Open Sans" w:hAnsi="Open Sans" w:cs="Open Sans"/>
          <w:lang w:eastAsia="ja-JP"/>
        </w:rPr>
      </w:pPr>
      <w:r w:rsidRPr="00944CCC">
        <w:rPr>
          <w:rFonts w:ascii="Open Sans" w:hAnsi="Open Sans" w:cs="Open Sans"/>
          <w:lang w:eastAsia="ja-JP"/>
        </w:rPr>
        <w:t>Other provisions that the partners determine need to be included</w:t>
      </w:r>
    </w:p>
    <w:p w14:paraId="3D23351B" w14:textId="77777777" w:rsidR="00660262" w:rsidRPr="00944CCC" w:rsidRDefault="00660262" w:rsidP="0056051A">
      <w:pPr>
        <w:pStyle w:val="ListParagraph"/>
        <w:numPr>
          <w:ilvl w:val="0"/>
          <w:numId w:val="69"/>
        </w:numPr>
        <w:rPr>
          <w:rFonts w:ascii="Open Sans" w:hAnsi="Open Sans" w:cs="Open Sans"/>
          <w:lang w:eastAsia="ja-JP"/>
        </w:rPr>
      </w:pPr>
      <w:r w:rsidRPr="00944CCC">
        <w:rPr>
          <w:rFonts w:ascii="Open Sans" w:hAnsi="Open Sans" w:cs="Open Sans"/>
          <w:lang w:eastAsia="ja-JP"/>
        </w:rPr>
        <w:t>The process for any future modifications, signatures of all partners, and</w:t>
      </w:r>
    </w:p>
    <w:p w14:paraId="0AB9232B" w14:textId="77777777" w:rsidR="00660262" w:rsidRPr="00944CCC" w:rsidRDefault="00660262" w:rsidP="0056051A">
      <w:pPr>
        <w:pStyle w:val="ListParagraph"/>
        <w:numPr>
          <w:ilvl w:val="0"/>
          <w:numId w:val="69"/>
        </w:numPr>
        <w:rPr>
          <w:rFonts w:ascii="Open Sans" w:hAnsi="Open Sans" w:cs="Open Sans"/>
          <w:lang w:eastAsia="ja-JP"/>
        </w:rPr>
      </w:pPr>
      <w:r w:rsidRPr="00944CCC">
        <w:rPr>
          <w:rFonts w:ascii="Open Sans" w:hAnsi="Open Sans" w:cs="Open Sans"/>
          <w:lang w:eastAsia="ja-JP"/>
        </w:rPr>
        <w:t>An appeals process</w:t>
      </w:r>
    </w:p>
    <w:p w14:paraId="7B86D60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To help you out, the WIOA federal partners created a toolkit, which you can find on the U.S. Department of Labor’s Workforce GPS website. The toolkit has a sample MOU and some examples of one-stop operating budgets, which include the Infrastructure Funding Agreement, or IFA. The link to the toolkit can be found in the Playbook.</w:t>
      </w:r>
    </w:p>
    <w:p w14:paraId="7ECDA73A"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Regarding the requirements of the MOUs, States will want to pay close attention to some important areas:</w:t>
      </w:r>
    </w:p>
    <w:p w14:paraId="3295506F" w14:textId="77777777" w:rsidR="00660262" w:rsidRPr="00944CCC" w:rsidRDefault="00660262" w:rsidP="0056051A">
      <w:pPr>
        <w:pStyle w:val="ListParagraph"/>
        <w:numPr>
          <w:ilvl w:val="0"/>
          <w:numId w:val="70"/>
        </w:numPr>
        <w:rPr>
          <w:rFonts w:ascii="Open Sans" w:hAnsi="Open Sans" w:cs="Open Sans"/>
          <w:lang w:eastAsia="ja-JP"/>
        </w:rPr>
      </w:pPr>
      <w:r w:rsidRPr="00944CCC">
        <w:rPr>
          <w:rFonts w:ascii="Open Sans" w:hAnsi="Open Sans" w:cs="Open Sans"/>
          <w:lang w:eastAsia="ja-JP"/>
        </w:rPr>
        <w:t>One area to note is how infrastructure costs are determined. The MOU/IFA toolkit provides information on cost allocation methodologies and examples which you may find very helpful when negotiating the infrastructure costs.</w:t>
      </w:r>
    </w:p>
    <w:p w14:paraId="253B8F9D" w14:textId="77777777" w:rsidR="00660262" w:rsidRPr="00944CCC" w:rsidRDefault="00660262" w:rsidP="0056051A">
      <w:pPr>
        <w:pStyle w:val="ListParagraph"/>
        <w:numPr>
          <w:ilvl w:val="0"/>
          <w:numId w:val="70"/>
        </w:numPr>
        <w:rPr>
          <w:rFonts w:ascii="Open Sans" w:hAnsi="Open Sans" w:cs="Open Sans"/>
          <w:lang w:eastAsia="ja-JP"/>
        </w:rPr>
      </w:pPr>
      <w:r w:rsidRPr="00944CCC">
        <w:rPr>
          <w:rFonts w:ascii="Open Sans" w:hAnsi="Open Sans" w:cs="Open Sans"/>
          <w:lang w:eastAsia="ja-JP"/>
        </w:rPr>
        <w:t xml:space="preserve">The second area is the responsibilities of each partner. The MOU/IFA toolkit identifies </w:t>
      </w:r>
      <w:proofErr w:type="gramStart"/>
      <w:r w:rsidRPr="00944CCC">
        <w:rPr>
          <w:rFonts w:ascii="Open Sans" w:hAnsi="Open Sans" w:cs="Open Sans"/>
          <w:lang w:eastAsia="ja-JP"/>
        </w:rPr>
        <w:t>all of</w:t>
      </w:r>
      <w:proofErr w:type="gramEnd"/>
      <w:r w:rsidRPr="00944CCC">
        <w:rPr>
          <w:rFonts w:ascii="Open Sans" w:hAnsi="Open Sans" w:cs="Open Sans"/>
          <w:lang w:eastAsia="ja-JP"/>
        </w:rPr>
        <w:t xml:space="preserve"> the laws and regulations that each partner must comply with, provides example schedules to ensure appropriate staff coverage at the one-stops, and describes other areas of partnership, including data-sharing.</w:t>
      </w:r>
    </w:p>
    <w:p w14:paraId="790132FA" w14:textId="77777777" w:rsidR="00660262" w:rsidRPr="00944CCC" w:rsidRDefault="00660262" w:rsidP="0056051A">
      <w:pPr>
        <w:pStyle w:val="ListParagraph"/>
        <w:numPr>
          <w:ilvl w:val="0"/>
          <w:numId w:val="70"/>
        </w:numPr>
        <w:rPr>
          <w:rFonts w:ascii="Open Sans" w:hAnsi="Open Sans" w:cs="Open Sans"/>
          <w:lang w:eastAsia="ja-JP"/>
        </w:rPr>
      </w:pPr>
      <w:r w:rsidRPr="00944CCC">
        <w:rPr>
          <w:rFonts w:ascii="Open Sans" w:hAnsi="Open Sans" w:cs="Open Sans"/>
          <w:lang w:eastAsia="ja-JP"/>
        </w:rPr>
        <w:t>The MOUs must also clearly identify the dates of agreement – that is, the duration of the agreement through identifying the start and end dates. Remember that regular MOU reviews and renewals, if substantial changes are made, must be completed at least every three years.</w:t>
      </w:r>
    </w:p>
    <w:p w14:paraId="3E0DA2D2" w14:textId="77777777" w:rsidR="00660262" w:rsidRPr="00944CCC" w:rsidRDefault="00660262" w:rsidP="0056051A">
      <w:pPr>
        <w:pStyle w:val="ListParagraph"/>
        <w:numPr>
          <w:ilvl w:val="0"/>
          <w:numId w:val="70"/>
        </w:numPr>
        <w:rPr>
          <w:rFonts w:ascii="Open Sans" w:hAnsi="Open Sans" w:cs="Open Sans"/>
          <w:lang w:eastAsia="ja-JP"/>
        </w:rPr>
      </w:pPr>
      <w:r w:rsidRPr="00944CCC">
        <w:rPr>
          <w:rFonts w:ascii="Open Sans" w:hAnsi="Open Sans" w:cs="Open Sans"/>
          <w:lang w:eastAsia="ja-JP"/>
        </w:rPr>
        <w:t xml:space="preserve">Finally, the agreements must be signed by each partner </w:t>
      </w:r>
      <w:proofErr w:type="gramStart"/>
      <w:r w:rsidRPr="00944CCC">
        <w:rPr>
          <w:rFonts w:ascii="Open Sans" w:hAnsi="Open Sans" w:cs="Open Sans"/>
          <w:lang w:eastAsia="ja-JP"/>
        </w:rPr>
        <w:t>in order to</w:t>
      </w:r>
      <w:proofErr w:type="gramEnd"/>
      <w:r w:rsidRPr="00944CCC">
        <w:rPr>
          <w:rFonts w:ascii="Open Sans" w:hAnsi="Open Sans" w:cs="Open Sans"/>
          <w:lang w:eastAsia="ja-JP"/>
        </w:rPr>
        <w:t xml:space="preserve"> be valid. That’s very important to remember.</w:t>
      </w:r>
    </w:p>
    <w:p w14:paraId="2C2C31D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These areas are emphasized because they are the areas where OCTAE has noticed some weaknesses or noncompliance when reviewing MOUs and IFAs during monitoring reviews. Again, use the MOU/IFA toolkit to help you create complete and compliant agreements.</w:t>
      </w:r>
    </w:p>
    <w:p w14:paraId="368035D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one-stops are operated based on the terms in the MOU. As the MOUs are reviewed and renewed every three years, responsibilities, infrastructure costs, or other aspects may be renegotiated. The MOUs also have a process for modifications, if you find something is not working or could be improved within the three-year period.</w:t>
      </w:r>
    </w:p>
    <w:p w14:paraId="6F9DFF7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State Eligible Agency must ensure that the roles and responsibilities of the AELFA partner are being fulfilled. </w:t>
      </w:r>
      <w:proofErr w:type="gramStart"/>
      <w:r w:rsidRPr="00944CCC">
        <w:rPr>
          <w:rFonts w:ascii="Open Sans" w:hAnsi="Open Sans" w:cs="Open Sans"/>
          <w:lang w:eastAsia="ja-JP"/>
        </w:rPr>
        <w:t>So</w:t>
      </w:r>
      <w:proofErr w:type="gramEnd"/>
      <w:r w:rsidRPr="00944CCC">
        <w:rPr>
          <w:rFonts w:ascii="Open Sans" w:hAnsi="Open Sans" w:cs="Open Sans"/>
          <w:lang w:eastAsia="ja-JP"/>
        </w:rPr>
        <w:t xml:space="preserve"> it’s important for the State Eligible Agency to consider the following:</w:t>
      </w:r>
    </w:p>
    <w:p w14:paraId="1B5EAFA8" w14:textId="77777777" w:rsidR="00660262" w:rsidRPr="00944CCC" w:rsidRDefault="00660262" w:rsidP="0056051A">
      <w:pPr>
        <w:pStyle w:val="ListParagraph"/>
        <w:numPr>
          <w:ilvl w:val="0"/>
          <w:numId w:val="71"/>
        </w:numPr>
        <w:rPr>
          <w:rFonts w:ascii="Open Sans" w:hAnsi="Open Sans" w:cs="Open Sans"/>
          <w:lang w:eastAsia="ja-JP"/>
        </w:rPr>
      </w:pPr>
      <w:r w:rsidRPr="00944CCC">
        <w:rPr>
          <w:rFonts w:ascii="Open Sans" w:hAnsi="Open Sans" w:cs="Open Sans"/>
          <w:lang w:eastAsia="ja-JP"/>
        </w:rPr>
        <w:t xml:space="preserve">When some or </w:t>
      </w:r>
      <w:proofErr w:type="gramStart"/>
      <w:r w:rsidRPr="00944CCC">
        <w:rPr>
          <w:rFonts w:ascii="Open Sans" w:hAnsi="Open Sans" w:cs="Open Sans"/>
          <w:lang w:eastAsia="ja-JP"/>
        </w:rPr>
        <w:t>all of</w:t>
      </w:r>
      <w:proofErr w:type="gramEnd"/>
      <w:r w:rsidRPr="00944CCC">
        <w:rPr>
          <w:rFonts w:ascii="Open Sans" w:hAnsi="Open Sans" w:cs="Open Sans"/>
          <w:lang w:eastAsia="ja-JP"/>
        </w:rPr>
        <w:t xml:space="preserve"> the roles and responsibilities are delegated to local providers, that means the State agency must monitor how the local providers carry out the roles and responsibilities.</w:t>
      </w:r>
    </w:p>
    <w:p w14:paraId="1A858CAF" w14:textId="77777777" w:rsidR="00660262" w:rsidRPr="00944CCC" w:rsidRDefault="00660262" w:rsidP="0056051A">
      <w:pPr>
        <w:pStyle w:val="ListParagraph"/>
        <w:numPr>
          <w:ilvl w:val="0"/>
          <w:numId w:val="71"/>
        </w:numPr>
        <w:rPr>
          <w:rFonts w:ascii="Open Sans" w:hAnsi="Open Sans" w:cs="Open Sans"/>
          <w:lang w:eastAsia="ja-JP"/>
        </w:rPr>
      </w:pPr>
      <w:r w:rsidRPr="00944CCC">
        <w:rPr>
          <w:rFonts w:ascii="Open Sans" w:hAnsi="Open Sans" w:cs="Open Sans"/>
          <w:lang w:eastAsia="ja-JP"/>
        </w:rPr>
        <w:t>The State agency must also ensure funds are being expended properly.</w:t>
      </w:r>
    </w:p>
    <w:p w14:paraId="1072E873" w14:textId="77777777" w:rsidR="00660262" w:rsidRPr="00944CCC" w:rsidRDefault="00660262" w:rsidP="0056051A">
      <w:pPr>
        <w:pStyle w:val="ListParagraph"/>
        <w:numPr>
          <w:ilvl w:val="0"/>
          <w:numId w:val="71"/>
        </w:numPr>
        <w:rPr>
          <w:rFonts w:ascii="Open Sans" w:hAnsi="Open Sans" w:cs="Open Sans"/>
          <w:lang w:eastAsia="ja-JP"/>
        </w:rPr>
      </w:pPr>
      <w:r w:rsidRPr="00944CCC">
        <w:rPr>
          <w:rFonts w:ascii="Open Sans" w:hAnsi="Open Sans" w:cs="Open Sans"/>
          <w:lang w:eastAsia="ja-JP"/>
        </w:rPr>
        <w:t>Costs must be reasonable, necessary, and allocable, in accordance with the Uniform Guidance – subpart E, cost principles.</w:t>
      </w:r>
    </w:p>
    <w:p w14:paraId="234C3336" w14:textId="77777777" w:rsidR="00660262" w:rsidRPr="00944CCC" w:rsidRDefault="00660262" w:rsidP="0056051A">
      <w:pPr>
        <w:pStyle w:val="ListParagraph"/>
        <w:numPr>
          <w:ilvl w:val="0"/>
          <w:numId w:val="71"/>
        </w:numPr>
        <w:rPr>
          <w:rFonts w:ascii="Open Sans" w:hAnsi="Open Sans" w:cs="Open Sans"/>
          <w:lang w:eastAsia="ja-JP"/>
        </w:rPr>
      </w:pPr>
      <w:r w:rsidRPr="00944CCC">
        <w:rPr>
          <w:rFonts w:ascii="Open Sans" w:hAnsi="Open Sans" w:cs="Open Sans"/>
          <w:lang w:eastAsia="ja-JP"/>
        </w:rPr>
        <w:t>Costs must also be allowable under AEFLA.</w:t>
      </w:r>
    </w:p>
    <w:p w14:paraId="3D555145" w14:textId="77777777" w:rsidR="00660262" w:rsidRPr="00944CCC" w:rsidRDefault="00660262" w:rsidP="0056051A">
      <w:pPr>
        <w:pStyle w:val="ListParagraph"/>
        <w:numPr>
          <w:ilvl w:val="0"/>
          <w:numId w:val="71"/>
        </w:numPr>
        <w:rPr>
          <w:rFonts w:ascii="Open Sans" w:hAnsi="Open Sans" w:cs="Open Sans"/>
          <w:lang w:eastAsia="ja-JP"/>
        </w:rPr>
      </w:pPr>
      <w:r w:rsidRPr="00944CCC">
        <w:rPr>
          <w:rFonts w:ascii="Open Sans" w:hAnsi="Open Sans" w:cs="Open Sans"/>
          <w:lang w:eastAsia="ja-JP"/>
        </w:rPr>
        <w:t>And the cost allocation method must be based on proportionate use and relative benefit received.</w:t>
      </w:r>
    </w:p>
    <w:p w14:paraId="0D1B95D1" w14:textId="77777777" w:rsidR="00660262" w:rsidRPr="00944CCC" w:rsidRDefault="00660262" w:rsidP="00944CCC">
      <w:pPr>
        <w:pStyle w:val="Heading3"/>
      </w:pPr>
      <w:bookmarkStart w:id="235" w:name="_Toc163980084"/>
      <w:bookmarkStart w:id="236" w:name="_Toc171600557"/>
      <w:r w:rsidRPr="00944CCC">
        <w:lastRenderedPageBreak/>
        <w:t>Summary</w:t>
      </w:r>
      <w:bookmarkEnd w:id="235"/>
      <w:bookmarkEnd w:id="236"/>
    </w:p>
    <w:p w14:paraId="764F2CEB" w14:textId="77777777" w:rsidR="00660262" w:rsidRPr="00944CCC" w:rsidRDefault="00660262" w:rsidP="0056051A">
      <w:pPr>
        <w:rPr>
          <w:rFonts w:ascii="Open Sans" w:hAnsi="Open Sans" w:cs="Open Sans"/>
        </w:rPr>
      </w:pPr>
      <w:r w:rsidRPr="00944CCC">
        <w:rPr>
          <w:rFonts w:ascii="Open Sans" w:hAnsi="Open Sans" w:cs="Open Sans"/>
        </w:rPr>
        <w:t>In summary, the AJCs, also known as one-stops, help to fulfill the purpose of WIOA to align workforce, education, and economic development.</w:t>
      </w:r>
    </w:p>
    <w:p w14:paraId="567B23D6" w14:textId="77777777" w:rsidR="00660262" w:rsidRPr="00944CCC" w:rsidRDefault="00660262" w:rsidP="0056051A">
      <w:pPr>
        <w:pStyle w:val="ListParagraph"/>
        <w:numPr>
          <w:ilvl w:val="0"/>
          <w:numId w:val="72"/>
        </w:numPr>
        <w:rPr>
          <w:rFonts w:ascii="Open Sans" w:hAnsi="Open Sans" w:cs="Open Sans"/>
        </w:rPr>
      </w:pPr>
      <w:r w:rsidRPr="00944CCC">
        <w:rPr>
          <w:rFonts w:ascii="Open Sans" w:hAnsi="Open Sans" w:cs="Open Sans"/>
        </w:rPr>
        <w:t>Well-developed partnerships are vital to providing seamless information and services to job seekers, and there is flexibility in how that information and the services are provided.</w:t>
      </w:r>
    </w:p>
    <w:p w14:paraId="4D1ABB4F" w14:textId="77777777" w:rsidR="00660262" w:rsidRPr="00944CCC" w:rsidRDefault="00660262" w:rsidP="0056051A">
      <w:pPr>
        <w:pStyle w:val="ListParagraph"/>
        <w:numPr>
          <w:ilvl w:val="0"/>
          <w:numId w:val="72"/>
        </w:numPr>
        <w:rPr>
          <w:rFonts w:ascii="Open Sans" w:hAnsi="Open Sans" w:cs="Open Sans"/>
        </w:rPr>
      </w:pPr>
      <w:r w:rsidRPr="00944CCC">
        <w:rPr>
          <w:rFonts w:ascii="Open Sans" w:hAnsi="Open Sans" w:cs="Open Sans"/>
        </w:rPr>
        <w:t xml:space="preserve">Agreements that specify how services, including career services, are provided will facilitate AJC operating budgets and infrastructure agreements. </w:t>
      </w:r>
    </w:p>
    <w:p w14:paraId="15909520" w14:textId="77777777" w:rsidR="00660262" w:rsidRPr="00944CCC" w:rsidRDefault="00660262" w:rsidP="0056051A">
      <w:pPr>
        <w:pStyle w:val="ListParagraph"/>
        <w:numPr>
          <w:ilvl w:val="0"/>
          <w:numId w:val="72"/>
        </w:numPr>
        <w:rPr>
          <w:rFonts w:ascii="Open Sans" w:hAnsi="Open Sans" w:cs="Open Sans"/>
        </w:rPr>
      </w:pPr>
      <w:r w:rsidRPr="00944CCC">
        <w:rPr>
          <w:rFonts w:ascii="Open Sans" w:hAnsi="Open Sans" w:cs="Open Sans"/>
        </w:rPr>
        <w:t xml:space="preserve">The MOU/IFA toolkit can help States negotiate agreements that will be effective and compliant. </w:t>
      </w:r>
    </w:p>
    <w:p w14:paraId="66B5B4C7" w14:textId="77777777" w:rsidR="00660262" w:rsidRPr="00944CCC" w:rsidRDefault="00660262" w:rsidP="0056051A">
      <w:pPr>
        <w:pStyle w:val="ListParagraph"/>
        <w:numPr>
          <w:ilvl w:val="0"/>
          <w:numId w:val="72"/>
        </w:numPr>
        <w:rPr>
          <w:rFonts w:ascii="Open Sans" w:hAnsi="Open Sans" w:cs="Open Sans"/>
        </w:rPr>
      </w:pPr>
      <w:r w:rsidRPr="00944CCC">
        <w:rPr>
          <w:rFonts w:ascii="Open Sans" w:hAnsi="Open Sans" w:cs="Open Sans"/>
        </w:rPr>
        <w:t>And, finally, when the State agency delegates roles and responsibilities to local providers, it must monitor to ensure agreements are followed and the local providers meet federal requirements.</w:t>
      </w:r>
    </w:p>
    <w:p w14:paraId="63E5336C" w14:textId="77777777" w:rsidR="005B687F" w:rsidRPr="00944CCC" w:rsidRDefault="00660262" w:rsidP="0056051A">
      <w:pPr>
        <w:rPr>
          <w:rFonts w:ascii="Open Sans" w:hAnsi="Open Sans" w:cs="Open Sans"/>
        </w:rPr>
      </w:pPr>
      <w:r w:rsidRPr="00944CCC">
        <w:rPr>
          <w:rFonts w:ascii="Open Sans" w:hAnsi="Open Sans" w:cs="Open Sans"/>
        </w:rPr>
        <w:t>For more information on one-stop requirements and the responsibilities of the State Eligible agency, check out the resources linked in the Playbook.</w:t>
      </w:r>
    </w:p>
    <w:p w14:paraId="6AF29D1C" w14:textId="77777777" w:rsidR="005B687F" w:rsidRPr="00944CCC" w:rsidRDefault="005B687F" w:rsidP="0056051A">
      <w:pPr>
        <w:rPr>
          <w:rFonts w:ascii="Open Sans" w:hAnsi="Open Sans" w:cs="Open Sans"/>
        </w:rPr>
      </w:pPr>
      <w:r w:rsidRPr="00944CCC">
        <w:rPr>
          <w:rFonts w:ascii="Open Sans" w:hAnsi="Open Sans" w:cs="Open Sans"/>
        </w:rPr>
        <w:br w:type="page"/>
      </w:r>
    </w:p>
    <w:p w14:paraId="78822411" w14:textId="77777777" w:rsidR="00660262" w:rsidRPr="00944CCC" w:rsidRDefault="00660262" w:rsidP="0056051A">
      <w:pPr>
        <w:pStyle w:val="Heading2"/>
        <w:rPr>
          <w:rFonts w:ascii="Open Sans" w:hAnsi="Open Sans" w:cs="Open Sans"/>
          <w:color w:val="032E53"/>
          <w:lang w:eastAsia="ja-JP"/>
        </w:rPr>
      </w:pPr>
      <w:bookmarkStart w:id="237" w:name="_Are_You_Ready"/>
      <w:bookmarkStart w:id="238" w:name="_Toc163980085"/>
      <w:bookmarkStart w:id="239" w:name="_Toc171600558"/>
      <w:bookmarkEnd w:id="237"/>
      <w:r w:rsidRPr="00944CCC">
        <w:rPr>
          <w:rFonts w:ascii="Open Sans" w:hAnsi="Open Sans" w:cs="Open Sans"/>
          <w:color w:val="032E53"/>
          <w:lang w:eastAsia="ja-JP"/>
        </w:rPr>
        <w:lastRenderedPageBreak/>
        <w:t>Are You Ready to Lead?</w:t>
      </w:r>
      <w:bookmarkEnd w:id="238"/>
      <w:bookmarkEnd w:id="239"/>
    </w:p>
    <w:p w14:paraId="33AEABC5" w14:textId="77777777" w:rsidR="00660262" w:rsidRPr="00944CCC" w:rsidRDefault="00660262" w:rsidP="0056051A">
      <w:pPr>
        <w:pStyle w:val="Normal0"/>
        <w:rPr>
          <w:rFonts w:ascii="Open Sans" w:hAnsi="Open Sans" w:cs="Open Sans"/>
          <w:lang w:eastAsia="ja-JP"/>
        </w:rPr>
      </w:pPr>
      <w:r w:rsidRPr="00944CCC">
        <w:rPr>
          <w:rFonts w:ascii="Open Sans" w:hAnsi="Open Sans" w:cs="Open Sans"/>
          <w:lang w:eastAsia="ja-JP"/>
        </w:rPr>
        <w:t>In this video, we will provide you with a brief legislative history of State leadership, as well as an introduction to the statutory requirements for the use of State leadership funds. These requirements can be found in section 223 of the Adult Education and Family Literacy Act, or AEFLA, which is title II of the Workforce Innovation and Opportunity Act, or WIOA.</w:t>
      </w:r>
    </w:p>
    <w:p w14:paraId="4F00675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State leadership activities are important tools that help you support capacity building and program improvement. And there's flexibility in how you can use section 223 funding to achieve your vision for adult education in your State.</w:t>
      </w:r>
    </w:p>
    <w:p w14:paraId="5D88D54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In addition to what we cover in this video, you can find more helpful resources in the Playbook.</w:t>
      </w:r>
    </w:p>
    <w:p w14:paraId="656B2E34" w14:textId="77777777" w:rsidR="00660262" w:rsidRPr="00944CCC" w:rsidRDefault="00660262" w:rsidP="00944CCC">
      <w:pPr>
        <w:pStyle w:val="Heading3"/>
      </w:pPr>
      <w:bookmarkStart w:id="240" w:name="_Toc163980086"/>
      <w:bookmarkStart w:id="241" w:name="_Toc171600559"/>
      <w:r w:rsidRPr="00944CCC">
        <w:t>History of State Leadership Funds</w:t>
      </w:r>
      <w:bookmarkEnd w:id="240"/>
      <w:bookmarkEnd w:id="241"/>
    </w:p>
    <w:p w14:paraId="5BD8752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Before we get into the requirements for State leadership funds, let’s go for a brief history lesson, which will help us understand how we got to where we are now. In 1964, President Lyndon B Johnson declared a war on poverty, and by August of that year he signed the Economic Opportunity Act. The act established the adult basic education program nationally. Prior to that time, few States had adult basic education programs. </w:t>
      </w:r>
    </w:p>
    <w:p w14:paraId="1A143BF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As part of this new program, grants to States included funds, "To assist in developing or improving technical or supervisory services by the State relating to adult basic education programs.” Congress acknowledged the need to provide training to teachers and to States to lead their programs.</w:t>
      </w:r>
    </w:p>
    <w:p w14:paraId="154CDC1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Over time, Congress became more specific about the purpose and the amount of leadership funds. In 1968, the Adult Education Act moved adult basic education into the federal Office of </w:t>
      </w:r>
      <w:proofErr w:type="gramStart"/>
      <w:r w:rsidRPr="00944CCC">
        <w:rPr>
          <w:rFonts w:ascii="Open Sans" w:hAnsi="Open Sans" w:cs="Open Sans"/>
          <w:lang w:eastAsia="ja-JP"/>
        </w:rPr>
        <w:t>Education, and</w:t>
      </w:r>
      <w:proofErr w:type="gramEnd"/>
      <w:r w:rsidRPr="00944CCC">
        <w:rPr>
          <w:rFonts w:ascii="Open Sans" w:hAnsi="Open Sans" w:cs="Open Sans"/>
          <w:lang w:eastAsia="ja-JP"/>
        </w:rPr>
        <w:t xml:space="preserve"> expanded the program to include adults with limited English proficiency. Congress also authorized grants for special experimental demonstration projects and for teacher training. </w:t>
      </w:r>
    </w:p>
    <w:p w14:paraId="40A4B0D4"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1974, the amendments to the Adult Education Act included additional provisions for State leadership. In addition to training people engaged in adult education, the amendments specified that the types of demonstration projects should be projects that were innovative and could be used as models for other programs. The amendments also specified that projects should be collaborative in nature, </w:t>
      </w:r>
      <w:proofErr w:type="gramStart"/>
      <w:r w:rsidRPr="00944CCC">
        <w:rPr>
          <w:rFonts w:ascii="Open Sans" w:hAnsi="Open Sans" w:cs="Open Sans"/>
          <w:lang w:eastAsia="ja-JP"/>
        </w:rPr>
        <w:t>in order to</w:t>
      </w:r>
      <w:proofErr w:type="gramEnd"/>
      <w:r w:rsidRPr="00944CCC">
        <w:rPr>
          <w:rFonts w:ascii="Open Sans" w:hAnsi="Open Sans" w:cs="Open Sans"/>
          <w:lang w:eastAsia="ja-JP"/>
        </w:rPr>
        <w:t xml:space="preserve"> provide a more comprehensive approach to addressing persons “with educational deficiencies." And for the first time a floor was set. The 1974 amendments specified that at least 15% of the State grant must be spent on leadership activities.</w:t>
      </w:r>
    </w:p>
    <w:p w14:paraId="092097A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Then in 1988, President Reagan signed amendments which identified section 353 as funding for special experimental demonstration projects with the two goals of innovation and collaboration and for teacher training. The minimum proportion of the grant that must be spent on State leadership activities was reduced to 10%, but it was still a floor.</w:t>
      </w:r>
    </w:p>
    <w:p w14:paraId="42658A1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A few years later, after an education summit between then President George H. W. Bush and State governors, adult education was included among the nation's educational goals. Then the National Literacy Act was passed in 1991. This act increased the amount for section 353 activities back to no less than 15%. </w:t>
      </w:r>
    </w:p>
    <w:p w14:paraId="4C6FCB0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In 1998, the Workforce Investment Act, or WIA, was signed by President Clinton. Its purpose was to consolidate, coordinate, and improve employment training, literacy, and vocational rehabilitation programs in the United States. It was a monumental change. Between the introduction of the bill in April 1997 and its passage 16 months later, 46 amendments, House remarks, and votes took place. With the passage of WIA came the next big milestone for State leadership activities now written in section 223 of WIA. The amount allotted for State leadership activities became a ceiling and was reduced to not more than 12.5%. </w:t>
      </w:r>
    </w:p>
    <w:p w14:paraId="77CCC59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he </w:t>
      </w:r>
      <w:proofErr w:type="gramStart"/>
      <w:r w:rsidRPr="00944CCC">
        <w:rPr>
          <w:rFonts w:ascii="Open Sans" w:hAnsi="Open Sans" w:cs="Open Sans"/>
          <w:lang w:eastAsia="ja-JP"/>
        </w:rPr>
        <w:t>law</w:t>
      </w:r>
      <w:proofErr w:type="gramEnd"/>
      <w:r w:rsidRPr="00944CCC">
        <w:rPr>
          <w:rFonts w:ascii="Open Sans" w:hAnsi="Open Sans" w:cs="Open Sans"/>
          <w:lang w:eastAsia="ja-JP"/>
        </w:rPr>
        <w:t xml:space="preserve"> also provided a more detailed, expansive list of what leadership activities could be. For example, activities included not only professional development and technical assistance, but also monitoring and evaluation, incentives for local programs, coordinating support services, and other activities of statewide significance. And of course, collaboration was generally encouraged.</w:t>
      </w:r>
    </w:p>
    <w:p w14:paraId="05C57AA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That brings us to 2014 when President Obama signed the current law, the Workforce Innovation and Opportunity Act, or WIOA. WIOA maintained the cap of 12.5%. It also created two separate lists of activities, including four activities that are now required, and another list of permissible activities. WIOA, like the previous laws, encourages collaboration.</w:t>
      </w:r>
    </w:p>
    <w:p w14:paraId="03FF9DCF"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requirements for State leadership are found in section 223 of WIOA.  WIOA section 223 contains four required State leadership activities plus permissible activities. Required activities mean that leadership funds must be used to address each of the four required activities. You may address the four required activities in a way that makes sense for your State to enhance the statewide program and to achieve your statewide goals. </w:t>
      </w:r>
    </w:p>
    <w:p w14:paraId="0055BDB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Section 223 also addresses collaboration and avoiding duplication of efforts for both required and permissible activities. For example, States are encouraged to look at opportunities to collaborate with WIOA partners or State boards. Also, States can collaborate with each other and cooperate regionally, or collaborate to address a similar area of focus. Collaboration within or outside of the State may be </w:t>
      </w:r>
      <w:r w:rsidRPr="00944CCC">
        <w:rPr>
          <w:rFonts w:ascii="Open Sans" w:hAnsi="Open Sans" w:cs="Open Sans"/>
          <w:lang w:eastAsia="ja-JP"/>
        </w:rPr>
        <w:lastRenderedPageBreak/>
        <w:t>especially important for States with smaller grants to really maximize the impact of their leadership dollars.</w:t>
      </w:r>
    </w:p>
    <w:p w14:paraId="745B825F" w14:textId="77777777" w:rsidR="00660262" w:rsidRPr="00944CCC" w:rsidRDefault="00660262" w:rsidP="00944CCC">
      <w:pPr>
        <w:pStyle w:val="Heading3"/>
      </w:pPr>
      <w:bookmarkStart w:id="242" w:name="_Toc163980087"/>
      <w:bookmarkStart w:id="243" w:name="_Toc171600560"/>
      <w:r w:rsidRPr="00944CCC">
        <w:t>The Four Required Activities and Permissible Activities</w:t>
      </w:r>
      <w:bookmarkEnd w:id="242"/>
      <w:bookmarkEnd w:id="243"/>
    </w:p>
    <w:p w14:paraId="75A56A8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Now let's discuss the four required activities. Consider these as tools in your toolbox to strengthen your ability to achieve the goals of WIOA through supporting your local providers. </w:t>
      </w:r>
    </w:p>
    <w:p w14:paraId="65F39F9E"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first required activity is to align adult education and literacy activities with other core programs in WIOA and one-stop partners to implement the strategies identified in the unified or combined State plan.</w:t>
      </w:r>
    </w:p>
    <w:p w14:paraId="4E3F58A0"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This serves as a reminder to review your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plan and the strategic goals of your State. The first required activity can be addressed in several ways, including through support for:  </w:t>
      </w:r>
    </w:p>
    <w:p w14:paraId="6F37BF00" w14:textId="77777777" w:rsidR="00660262" w:rsidRPr="00944CCC" w:rsidRDefault="00660262" w:rsidP="0056051A">
      <w:pPr>
        <w:pStyle w:val="ListParagraph"/>
        <w:numPr>
          <w:ilvl w:val="0"/>
          <w:numId w:val="73"/>
        </w:numPr>
        <w:rPr>
          <w:rFonts w:ascii="Open Sans" w:hAnsi="Open Sans" w:cs="Open Sans"/>
          <w:lang w:eastAsia="ja-JP"/>
        </w:rPr>
      </w:pPr>
      <w:r w:rsidRPr="00944CCC">
        <w:rPr>
          <w:rFonts w:ascii="Open Sans" w:hAnsi="Open Sans" w:cs="Open Sans"/>
          <w:lang w:eastAsia="ja-JP"/>
        </w:rPr>
        <w:t xml:space="preserve">Integrated Education and Training, or IET </w:t>
      </w:r>
    </w:p>
    <w:p w14:paraId="48A74AC7" w14:textId="77777777" w:rsidR="00660262" w:rsidRPr="00944CCC" w:rsidRDefault="00660262" w:rsidP="0056051A">
      <w:pPr>
        <w:pStyle w:val="ListParagraph"/>
        <w:numPr>
          <w:ilvl w:val="0"/>
          <w:numId w:val="73"/>
        </w:numPr>
        <w:rPr>
          <w:rFonts w:ascii="Open Sans" w:hAnsi="Open Sans" w:cs="Open Sans"/>
          <w:lang w:eastAsia="ja-JP"/>
        </w:rPr>
      </w:pPr>
      <w:r w:rsidRPr="00944CCC">
        <w:rPr>
          <w:rFonts w:ascii="Open Sans" w:hAnsi="Open Sans" w:cs="Open Sans"/>
          <w:lang w:eastAsia="ja-JP"/>
        </w:rPr>
        <w:t>Career pathways that provide access to education and training services</w:t>
      </w:r>
    </w:p>
    <w:p w14:paraId="54EC7DCC" w14:textId="77777777" w:rsidR="00660262" w:rsidRPr="00944CCC" w:rsidRDefault="00660262" w:rsidP="0056051A">
      <w:pPr>
        <w:pStyle w:val="ListParagraph"/>
        <w:numPr>
          <w:ilvl w:val="0"/>
          <w:numId w:val="73"/>
        </w:numPr>
        <w:rPr>
          <w:rFonts w:ascii="Open Sans" w:hAnsi="Open Sans" w:cs="Open Sans"/>
          <w:lang w:eastAsia="ja-JP"/>
        </w:rPr>
      </w:pPr>
      <w:r w:rsidRPr="00944CCC">
        <w:rPr>
          <w:rFonts w:ascii="Open Sans" w:hAnsi="Open Sans" w:cs="Open Sans"/>
          <w:lang w:eastAsia="ja-JP"/>
        </w:rPr>
        <w:t xml:space="preserve">The co-location of adult education and literacy services in the one-stop, or </w:t>
      </w:r>
    </w:p>
    <w:p w14:paraId="0FA2DC38" w14:textId="77777777" w:rsidR="00660262" w:rsidRPr="00944CCC" w:rsidRDefault="00660262" w:rsidP="0056051A">
      <w:pPr>
        <w:pStyle w:val="ListParagraph"/>
        <w:numPr>
          <w:ilvl w:val="0"/>
          <w:numId w:val="73"/>
        </w:numPr>
        <w:rPr>
          <w:rFonts w:ascii="Open Sans" w:hAnsi="Open Sans" w:cs="Open Sans"/>
          <w:lang w:eastAsia="ja-JP"/>
        </w:rPr>
      </w:pPr>
      <w:r w:rsidRPr="00944CCC">
        <w:rPr>
          <w:rFonts w:ascii="Open Sans" w:hAnsi="Open Sans" w:cs="Open Sans"/>
          <w:lang w:eastAsia="ja-JP"/>
        </w:rPr>
        <w:t>Common systems and processes among one-stop partners for such things as intake, reporting, referrals and service deliveries</w:t>
      </w:r>
    </w:p>
    <w:p w14:paraId="75E71367"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second required activity is to establish or operate high quality professional development programs to improve instruction in adult education activities, such as:</w:t>
      </w:r>
    </w:p>
    <w:p w14:paraId="3CE04610" w14:textId="77777777" w:rsidR="00660262" w:rsidRPr="00944CCC" w:rsidRDefault="00660262" w:rsidP="0056051A">
      <w:pPr>
        <w:pStyle w:val="ListParagraph"/>
        <w:numPr>
          <w:ilvl w:val="0"/>
          <w:numId w:val="74"/>
        </w:numPr>
        <w:rPr>
          <w:rFonts w:ascii="Open Sans" w:hAnsi="Open Sans" w:cs="Open Sans"/>
          <w:lang w:eastAsia="ja-JP"/>
        </w:rPr>
      </w:pPr>
      <w:r w:rsidRPr="00944CCC">
        <w:rPr>
          <w:rFonts w:ascii="Open Sans" w:hAnsi="Open Sans" w:cs="Open Sans"/>
          <w:lang w:eastAsia="ja-JP"/>
        </w:rPr>
        <w:t>Instruction incorporating the essential components of reading instruction</w:t>
      </w:r>
    </w:p>
    <w:p w14:paraId="02ECA02B" w14:textId="77777777" w:rsidR="00660262" w:rsidRPr="00944CCC" w:rsidRDefault="00660262" w:rsidP="0056051A">
      <w:pPr>
        <w:pStyle w:val="ListParagraph"/>
        <w:numPr>
          <w:ilvl w:val="0"/>
          <w:numId w:val="74"/>
        </w:numPr>
        <w:rPr>
          <w:rFonts w:ascii="Open Sans" w:hAnsi="Open Sans" w:cs="Open Sans"/>
          <w:lang w:eastAsia="ja-JP"/>
        </w:rPr>
      </w:pPr>
      <w:r w:rsidRPr="00944CCC">
        <w:rPr>
          <w:rFonts w:ascii="Open Sans" w:hAnsi="Open Sans" w:cs="Open Sans"/>
          <w:lang w:eastAsia="ja-JP"/>
        </w:rPr>
        <w:t>Instruction related to the specific needs of adult learners</w:t>
      </w:r>
    </w:p>
    <w:p w14:paraId="4AC9489E" w14:textId="77777777" w:rsidR="00660262" w:rsidRPr="00944CCC" w:rsidRDefault="00660262" w:rsidP="0056051A">
      <w:pPr>
        <w:pStyle w:val="ListParagraph"/>
        <w:numPr>
          <w:ilvl w:val="0"/>
          <w:numId w:val="74"/>
        </w:numPr>
        <w:rPr>
          <w:rFonts w:ascii="Open Sans" w:hAnsi="Open Sans" w:cs="Open Sans"/>
          <w:lang w:eastAsia="ja-JP"/>
        </w:rPr>
      </w:pPr>
      <w:r w:rsidRPr="00944CCC">
        <w:rPr>
          <w:rFonts w:ascii="Open Sans" w:hAnsi="Open Sans" w:cs="Open Sans"/>
          <w:lang w:eastAsia="ja-JP"/>
        </w:rPr>
        <w:t xml:space="preserve">Instruction provided by volunteers or by personnel, or </w:t>
      </w:r>
    </w:p>
    <w:p w14:paraId="26F3BBAE" w14:textId="77777777" w:rsidR="00660262" w:rsidRPr="00944CCC" w:rsidRDefault="00660262" w:rsidP="0056051A">
      <w:pPr>
        <w:pStyle w:val="ListParagraph"/>
        <w:numPr>
          <w:ilvl w:val="0"/>
          <w:numId w:val="74"/>
        </w:numPr>
        <w:rPr>
          <w:rFonts w:ascii="Open Sans" w:hAnsi="Open Sans" w:cs="Open Sans"/>
          <w:lang w:eastAsia="ja-JP"/>
        </w:rPr>
      </w:pPr>
      <w:r w:rsidRPr="00944CCC">
        <w:rPr>
          <w:rFonts w:ascii="Open Sans" w:hAnsi="Open Sans" w:cs="Open Sans"/>
          <w:lang w:eastAsia="ja-JP"/>
        </w:rPr>
        <w:t>Dissemination of information about models and promising practices</w:t>
      </w:r>
    </w:p>
    <w:p w14:paraId="6F73CA5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The third required activity is providing technical assistance to local providers. There are three areas identified in the law, including:</w:t>
      </w:r>
    </w:p>
    <w:p w14:paraId="48274EEA" w14:textId="77777777" w:rsidR="00660262" w:rsidRPr="00944CCC" w:rsidRDefault="00660262" w:rsidP="0056051A">
      <w:pPr>
        <w:pStyle w:val="ListParagraph"/>
        <w:numPr>
          <w:ilvl w:val="0"/>
          <w:numId w:val="75"/>
        </w:numPr>
        <w:rPr>
          <w:rFonts w:ascii="Open Sans" w:hAnsi="Open Sans" w:cs="Open Sans"/>
          <w:lang w:eastAsia="ja-JP"/>
        </w:rPr>
      </w:pPr>
      <w:r w:rsidRPr="00944CCC">
        <w:rPr>
          <w:rFonts w:ascii="Open Sans" w:hAnsi="Open Sans" w:cs="Open Sans"/>
          <w:lang w:eastAsia="ja-JP"/>
        </w:rPr>
        <w:t>The development and dissemination of instructional and programmatic practices based on the most rigorous or scientifically valid research available and appropriate, in reading, writing, speaking, mathematics, English language acquisition programs, distance education, and staff training</w:t>
      </w:r>
    </w:p>
    <w:p w14:paraId="270B4E09" w14:textId="77777777" w:rsidR="00660262" w:rsidRPr="00944CCC" w:rsidRDefault="00660262" w:rsidP="0056051A">
      <w:pPr>
        <w:pStyle w:val="ListParagraph"/>
        <w:numPr>
          <w:ilvl w:val="0"/>
          <w:numId w:val="75"/>
        </w:numPr>
        <w:rPr>
          <w:rFonts w:ascii="Open Sans" w:hAnsi="Open Sans" w:cs="Open Sans"/>
          <w:lang w:eastAsia="ja-JP"/>
        </w:rPr>
      </w:pPr>
      <w:r w:rsidRPr="00944CCC">
        <w:rPr>
          <w:rFonts w:ascii="Open Sans" w:hAnsi="Open Sans" w:cs="Open Sans"/>
          <w:lang w:eastAsia="ja-JP"/>
        </w:rPr>
        <w:t>The role of eligible providers as a one-stop partner to provide access to employment, education, and training services, and</w:t>
      </w:r>
    </w:p>
    <w:p w14:paraId="77BD7FBD" w14:textId="77777777" w:rsidR="00660262" w:rsidRPr="00944CCC" w:rsidRDefault="00660262" w:rsidP="0056051A">
      <w:pPr>
        <w:pStyle w:val="ListParagraph"/>
        <w:numPr>
          <w:ilvl w:val="0"/>
          <w:numId w:val="75"/>
        </w:numPr>
        <w:rPr>
          <w:rFonts w:ascii="Open Sans" w:hAnsi="Open Sans" w:cs="Open Sans"/>
          <w:lang w:eastAsia="ja-JP"/>
        </w:rPr>
      </w:pPr>
      <w:r w:rsidRPr="00944CCC">
        <w:rPr>
          <w:rFonts w:ascii="Open Sans" w:hAnsi="Open Sans" w:cs="Open Sans"/>
          <w:lang w:eastAsia="ja-JP"/>
        </w:rPr>
        <w:t>Assistance in the use of technology to eligible providers, especially the use of technology to improve system efficiencies and this may include staff training</w:t>
      </w:r>
    </w:p>
    <w:p w14:paraId="3BDA7903"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Finally, the fourth required activity is monitoring and evaluating the quality of, and improvement in, adult education and literacy activities and the dissemination of </w:t>
      </w:r>
      <w:r w:rsidRPr="00944CCC">
        <w:rPr>
          <w:rFonts w:ascii="Open Sans" w:hAnsi="Open Sans" w:cs="Open Sans"/>
          <w:lang w:eastAsia="ja-JP"/>
        </w:rPr>
        <w:lastRenderedPageBreak/>
        <w:t>information about models and proven or promising practices within the State. This activity includes:</w:t>
      </w:r>
    </w:p>
    <w:p w14:paraId="47612B9A" w14:textId="77777777" w:rsidR="00660262" w:rsidRPr="00944CCC" w:rsidRDefault="00660262" w:rsidP="0056051A">
      <w:pPr>
        <w:pStyle w:val="ListParagraph"/>
        <w:numPr>
          <w:ilvl w:val="0"/>
          <w:numId w:val="76"/>
        </w:numPr>
        <w:rPr>
          <w:rFonts w:ascii="Open Sans" w:hAnsi="Open Sans" w:cs="Open Sans"/>
          <w:lang w:eastAsia="ja-JP"/>
        </w:rPr>
      </w:pPr>
      <w:r w:rsidRPr="00944CCC">
        <w:rPr>
          <w:rFonts w:ascii="Open Sans" w:hAnsi="Open Sans" w:cs="Open Sans"/>
          <w:lang w:eastAsia="ja-JP"/>
        </w:rPr>
        <w:t>Using the results of monitoring for program improvement</w:t>
      </w:r>
    </w:p>
    <w:p w14:paraId="75D27FAB" w14:textId="77777777" w:rsidR="00660262" w:rsidRPr="00944CCC" w:rsidRDefault="00660262" w:rsidP="0056051A">
      <w:pPr>
        <w:pStyle w:val="ListParagraph"/>
        <w:numPr>
          <w:ilvl w:val="0"/>
          <w:numId w:val="76"/>
        </w:numPr>
        <w:rPr>
          <w:rFonts w:ascii="Open Sans" w:hAnsi="Open Sans" w:cs="Open Sans"/>
          <w:lang w:eastAsia="ja-JP"/>
        </w:rPr>
      </w:pPr>
      <w:r w:rsidRPr="00944CCC">
        <w:rPr>
          <w:rFonts w:ascii="Open Sans" w:hAnsi="Open Sans" w:cs="Open Sans"/>
          <w:lang w:eastAsia="ja-JP"/>
        </w:rPr>
        <w:t>Sharing lessons learned and promising practices with local providers</w:t>
      </w:r>
    </w:p>
    <w:p w14:paraId="2778C353" w14:textId="77777777" w:rsidR="00660262" w:rsidRPr="00944CCC" w:rsidRDefault="00660262" w:rsidP="0056051A">
      <w:pPr>
        <w:pStyle w:val="ListParagraph"/>
        <w:numPr>
          <w:ilvl w:val="0"/>
          <w:numId w:val="76"/>
        </w:numPr>
        <w:rPr>
          <w:rFonts w:ascii="Open Sans" w:hAnsi="Open Sans" w:cs="Open Sans"/>
          <w:lang w:eastAsia="ja-JP"/>
        </w:rPr>
      </w:pPr>
      <w:r w:rsidRPr="00944CCC">
        <w:rPr>
          <w:rFonts w:ascii="Open Sans" w:hAnsi="Open Sans" w:cs="Open Sans"/>
          <w:lang w:eastAsia="ja-JP"/>
        </w:rPr>
        <w:t>Creating and enhancing tools for risk assessment like dashboards and report cards, and</w:t>
      </w:r>
    </w:p>
    <w:p w14:paraId="5EEA18E6" w14:textId="77777777" w:rsidR="00660262" w:rsidRPr="00944CCC" w:rsidRDefault="00660262" w:rsidP="0056051A">
      <w:pPr>
        <w:pStyle w:val="ListParagraph"/>
        <w:numPr>
          <w:ilvl w:val="0"/>
          <w:numId w:val="76"/>
        </w:numPr>
        <w:rPr>
          <w:rFonts w:ascii="Open Sans" w:hAnsi="Open Sans" w:cs="Open Sans"/>
          <w:lang w:eastAsia="ja-JP"/>
        </w:rPr>
      </w:pPr>
      <w:r w:rsidRPr="00944CCC">
        <w:rPr>
          <w:rFonts w:ascii="Open Sans" w:hAnsi="Open Sans" w:cs="Open Sans"/>
          <w:lang w:eastAsia="ja-JP"/>
        </w:rPr>
        <w:t>Activities to ensure effective use of technology for monitoring both onsite as well as virtually</w:t>
      </w:r>
    </w:p>
    <w:p w14:paraId="55CA0FE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Those are the four required activities.</w:t>
      </w:r>
    </w:p>
    <w:p w14:paraId="43D14E1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There are also several permissible activities listed in WIOA section 223 subsection 2. These are examples of activities you may carry out in addition to the four required. States are not required to implement these. Rather, permissible activities can supplement your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effort in achieving statewide and WIOA goals. </w:t>
      </w:r>
    </w:p>
    <w:p w14:paraId="4FAE7AA9"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The law does not provide an exhaustive list of options for permissible activities. States have flexibility to address their </w:t>
      </w:r>
      <w:proofErr w:type="gramStart"/>
      <w:r w:rsidRPr="00944CCC">
        <w:rPr>
          <w:rFonts w:ascii="Open Sans" w:hAnsi="Open Sans" w:cs="Open Sans"/>
          <w:lang w:eastAsia="ja-JP"/>
        </w:rPr>
        <w:t>particular needs</w:t>
      </w:r>
      <w:proofErr w:type="gramEnd"/>
      <w:r w:rsidRPr="00944CCC">
        <w:rPr>
          <w:rFonts w:ascii="Open Sans" w:hAnsi="Open Sans" w:cs="Open Sans"/>
          <w:lang w:eastAsia="ja-JP"/>
        </w:rPr>
        <w:t xml:space="preserve"> and goals. Any activities that are implemented though, need to have statewide significance and have adult education and literacy as the goal.</w:t>
      </w:r>
    </w:p>
    <w:p w14:paraId="73A49436"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Permissible activities listed in the statute are illustrative only. In looking at section 223 subsection 2, you'll see some examples of activities you could consider. But if you are proposing an activity of statewide significance that is not listed and it addresses the purpose of the law, then such an activity could be considered.</w:t>
      </w:r>
    </w:p>
    <w:p w14:paraId="0BD6CE43" w14:textId="77777777" w:rsidR="00660262" w:rsidRPr="00944CCC" w:rsidRDefault="00660262" w:rsidP="00944CCC">
      <w:pPr>
        <w:pStyle w:val="Heading3"/>
      </w:pPr>
      <w:bookmarkStart w:id="244" w:name="_Toc163980088"/>
      <w:bookmarkStart w:id="245" w:name="_Toc171600561"/>
      <w:r w:rsidRPr="00944CCC">
        <w:t>Financial Considerations</w:t>
      </w:r>
      <w:bookmarkEnd w:id="244"/>
      <w:bookmarkEnd w:id="245"/>
    </w:p>
    <w:p w14:paraId="4AB39085"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Finally, let's talk about some financial considerations. There are a few ways you can use your </w:t>
      </w:r>
      <w:proofErr w:type="gramStart"/>
      <w:r w:rsidRPr="00944CCC">
        <w:rPr>
          <w:rFonts w:ascii="Open Sans" w:hAnsi="Open Sans" w:cs="Open Sans"/>
          <w:lang w:eastAsia="ja-JP"/>
        </w:rPr>
        <w:t>State</w:t>
      </w:r>
      <w:proofErr w:type="gramEnd"/>
      <w:r w:rsidRPr="00944CCC">
        <w:rPr>
          <w:rFonts w:ascii="Open Sans" w:hAnsi="Open Sans" w:cs="Open Sans"/>
          <w:lang w:eastAsia="ja-JP"/>
        </w:rPr>
        <w:t xml:space="preserve"> leadership funds to address these required and permissible activities: </w:t>
      </w:r>
    </w:p>
    <w:p w14:paraId="65BC1049" w14:textId="77777777" w:rsidR="00660262" w:rsidRPr="00944CCC" w:rsidRDefault="00660262" w:rsidP="0056051A">
      <w:pPr>
        <w:pStyle w:val="ListParagraph"/>
        <w:numPr>
          <w:ilvl w:val="0"/>
          <w:numId w:val="77"/>
        </w:numPr>
        <w:rPr>
          <w:rFonts w:ascii="Open Sans" w:hAnsi="Open Sans" w:cs="Open Sans"/>
          <w:lang w:eastAsia="ja-JP"/>
        </w:rPr>
      </w:pPr>
      <w:r w:rsidRPr="00944CCC">
        <w:rPr>
          <w:rFonts w:ascii="Open Sans" w:hAnsi="Open Sans" w:cs="Open Sans"/>
          <w:lang w:eastAsia="ja-JP"/>
        </w:rPr>
        <w:t>You can use them to fund in-house efforts, or</w:t>
      </w:r>
    </w:p>
    <w:p w14:paraId="7AC9B5C7" w14:textId="77777777" w:rsidR="00660262" w:rsidRPr="00944CCC" w:rsidRDefault="00660262" w:rsidP="0056051A">
      <w:pPr>
        <w:pStyle w:val="ListParagraph"/>
        <w:numPr>
          <w:ilvl w:val="0"/>
          <w:numId w:val="77"/>
        </w:numPr>
        <w:rPr>
          <w:rFonts w:ascii="Open Sans" w:hAnsi="Open Sans" w:cs="Open Sans"/>
          <w:lang w:eastAsia="ja-JP"/>
        </w:rPr>
      </w:pPr>
      <w:r w:rsidRPr="00944CCC">
        <w:rPr>
          <w:rFonts w:ascii="Open Sans" w:hAnsi="Open Sans" w:cs="Open Sans"/>
          <w:lang w:eastAsia="ja-JP"/>
        </w:rPr>
        <w:t xml:space="preserve">You can contract the funds to another organization or organizations that then carry out these activities, or </w:t>
      </w:r>
    </w:p>
    <w:p w14:paraId="274F9DC3" w14:textId="77777777" w:rsidR="00660262" w:rsidRPr="00944CCC" w:rsidRDefault="00660262" w:rsidP="0056051A">
      <w:pPr>
        <w:pStyle w:val="ListParagraph"/>
        <w:numPr>
          <w:ilvl w:val="0"/>
          <w:numId w:val="77"/>
        </w:numPr>
        <w:rPr>
          <w:rFonts w:ascii="Open Sans" w:hAnsi="Open Sans" w:cs="Open Sans"/>
          <w:lang w:eastAsia="ja-JP"/>
        </w:rPr>
      </w:pPr>
      <w:r w:rsidRPr="00944CCC">
        <w:rPr>
          <w:rFonts w:ascii="Open Sans" w:hAnsi="Open Sans" w:cs="Open Sans"/>
          <w:lang w:eastAsia="ja-JP"/>
        </w:rPr>
        <w:t>You can use a hybrid approach</w:t>
      </w:r>
    </w:p>
    <w:p w14:paraId="34640F18"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 xml:space="preserve">If you do use a contract to conduct State leadership activities, you must follow your </w:t>
      </w:r>
      <w:proofErr w:type="gramStart"/>
      <w:r w:rsidRPr="00944CCC">
        <w:rPr>
          <w:rFonts w:ascii="Open Sans" w:hAnsi="Open Sans" w:cs="Open Sans"/>
          <w:lang w:eastAsia="ja-JP"/>
        </w:rPr>
        <w:t>State's</w:t>
      </w:r>
      <w:proofErr w:type="gramEnd"/>
      <w:r w:rsidRPr="00944CCC">
        <w:rPr>
          <w:rFonts w:ascii="Open Sans" w:hAnsi="Open Sans" w:cs="Open Sans"/>
          <w:lang w:eastAsia="ja-JP"/>
        </w:rPr>
        <w:t xml:space="preserve"> procurement policies and procedures.</w:t>
      </w:r>
    </w:p>
    <w:p w14:paraId="7DA3C99B"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If you retain the funds in-house, ensure that the position description for each person working on these activities clearly identifies the responsibilities relevant to State leadership, and be sure to maintain time and effort records for these employees.</w:t>
      </w:r>
    </w:p>
    <w:p w14:paraId="0F7A40DD"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lastRenderedPageBreak/>
        <w:t xml:space="preserve">State leadership funds cannot be used for administrative activities. And as always, costs must be allowable, reasonable, necessary, and allocable and they must comply with </w:t>
      </w:r>
      <w:proofErr w:type="gramStart"/>
      <w:r w:rsidRPr="00944CCC">
        <w:rPr>
          <w:rFonts w:ascii="Open Sans" w:hAnsi="Open Sans" w:cs="Open Sans"/>
          <w:lang w:eastAsia="ja-JP"/>
        </w:rPr>
        <w:t>all of</w:t>
      </w:r>
      <w:proofErr w:type="gramEnd"/>
      <w:r w:rsidRPr="00944CCC">
        <w:rPr>
          <w:rFonts w:ascii="Open Sans" w:hAnsi="Open Sans" w:cs="Open Sans"/>
          <w:lang w:eastAsia="ja-JP"/>
        </w:rPr>
        <w:t xml:space="preserve"> the requirements of the cost principles described in title 2 of the code of federal regulations or 2 CFR part 200 Subpart E of the Uniform Administrative Requirements, Cost Principles, and Audit Requirements for Federal Awards.</w:t>
      </w:r>
    </w:p>
    <w:p w14:paraId="60171402" w14:textId="77777777" w:rsidR="00660262" w:rsidRPr="00944CCC" w:rsidRDefault="00660262" w:rsidP="00944CCC">
      <w:pPr>
        <w:pStyle w:val="Heading3"/>
      </w:pPr>
      <w:bookmarkStart w:id="246" w:name="_Toc163980089"/>
      <w:bookmarkStart w:id="247" w:name="_Toc171600562"/>
      <w:r w:rsidRPr="00944CCC">
        <w:t>Summary</w:t>
      </w:r>
      <w:bookmarkEnd w:id="246"/>
      <w:bookmarkEnd w:id="247"/>
    </w:p>
    <w:p w14:paraId="706773A1" w14:textId="77777777" w:rsidR="00660262" w:rsidRPr="00944CCC" w:rsidRDefault="00660262" w:rsidP="0056051A">
      <w:pPr>
        <w:rPr>
          <w:rFonts w:ascii="Open Sans" w:hAnsi="Open Sans" w:cs="Open Sans"/>
          <w:lang w:eastAsia="ja-JP"/>
        </w:rPr>
      </w:pPr>
      <w:r w:rsidRPr="00944CCC">
        <w:rPr>
          <w:rFonts w:ascii="Open Sans" w:hAnsi="Open Sans" w:cs="Open Sans"/>
          <w:lang w:eastAsia="ja-JP"/>
        </w:rPr>
        <w:t>Let’s summarize some of the most important points to keep in mind when dealing with State leadership funds.</w:t>
      </w:r>
    </w:p>
    <w:p w14:paraId="4BCBDEB3" w14:textId="77777777" w:rsidR="00660262" w:rsidRPr="00944CCC" w:rsidRDefault="00660262" w:rsidP="0056051A">
      <w:pPr>
        <w:pStyle w:val="ListParagraph"/>
        <w:numPr>
          <w:ilvl w:val="0"/>
          <w:numId w:val="78"/>
        </w:numPr>
        <w:rPr>
          <w:rFonts w:ascii="Open Sans" w:hAnsi="Open Sans" w:cs="Open Sans"/>
          <w:lang w:eastAsia="ja-JP"/>
        </w:rPr>
      </w:pPr>
      <w:r w:rsidRPr="00944CCC">
        <w:rPr>
          <w:rFonts w:ascii="Open Sans" w:hAnsi="Open Sans" w:cs="Open Sans"/>
          <w:lang w:eastAsia="ja-JP"/>
        </w:rPr>
        <w:t>Leadership funds must be used to address each of the four required leadership activities detailed in WIOA section 223.</w:t>
      </w:r>
    </w:p>
    <w:p w14:paraId="672B5291" w14:textId="77777777" w:rsidR="00660262" w:rsidRPr="00944CCC" w:rsidRDefault="00660262" w:rsidP="0056051A">
      <w:pPr>
        <w:pStyle w:val="ListParagraph"/>
        <w:numPr>
          <w:ilvl w:val="0"/>
          <w:numId w:val="78"/>
        </w:numPr>
        <w:rPr>
          <w:rFonts w:ascii="Open Sans" w:hAnsi="Open Sans" w:cs="Open Sans"/>
          <w:lang w:eastAsia="ja-JP"/>
        </w:rPr>
      </w:pPr>
      <w:r w:rsidRPr="00944CCC">
        <w:rPr>
          <w:rFonts w:ascii="Open Sans" w:hAnsi="Open Sans" w:cs="Open Sans"/>
          <w:lang w:eastAsia="ja-JP"/>
        </w:rPr>
        <w:t>Leadership funds may be used to support permissible activities detailed in WIOA section 223.</w:t>
      </w:r>
    </w:p>
    <w:p w14:paraId="040B60D7" w14:textId="77777777" w:rsidR="00660262" w:rsidRPr="00944CCC" w:rsidRDefault="00660262" w:rsidP="0056051A">
      <w:pPr>
        <w:pStyle w:val="ListParagraph"/>
        <w:numPr>
          <w:ilvl w:val="0"/>
          <w:numId w:val="78"/>
        </w:numPr>
        <w:rPr>
          <w:rFonts w:ascii="Open Sans" w:hAnsi="Open Sans" w:cs="Open Sans"/>
        </w:rPr>
      </w:pPr>
      <w:r w:rsidRPr="00944CCC">
        <w:rPr>
          <w:rFonts w:ascii="Open Sans" w:hAnsi="Open Sans" w:cs="Open Sans"/>
          <w:lang w:eastAsia="ja-JP"/>
        </w:rPr>
        <w:t>And States may use up to 12.5% of their federal allocation for required and permissible State leadership activities, and funds cannot be used for administrative activities.</w:t>
      </w:r>
    </w:p>
    <w:p w14:paraId="438EDB9E" w14:textId="77777777" w:rsidR="00190C42" w:rsidRPr="00944CCC" w:rsidRDefault="00660262" w:rsidP="0056051A">
      <w:pPr>
        <w:rPr>
          <w:rFonts w:ascii="Open Sans" w:hAnsi="Open Sans" w:cs="Open Sans"/>
          <w:lang w:eastAsia="ja-JP"/>
        </w:rPr>
      </w:pPr>
      <w:r w:rsidRPr="00944CCC">
        <w:rPr>
          <w:rFonts w:ascii="Open Sans" w:hAnsi="Open Sans" w:cs="Open Sans"/>
          <w:lang w:eastAsia="ja-JP"/>
        </w:rPr>
        <w:t>If you would like more information on financial considerations, or anything that we've discussed in this video, please contact your area coordinator. And be sure to check out the Playbook for a set of helpful resources on section 223 State leadership funds.</w:t>
      </w:r>
    </w:p>
    <w:sectPr w:rsidR="00190C42" w:rsidRPr="00944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venir Next LT Pro Light">
    <w:charset w:val="00"/>
    <w:family w:val="swiss"/>
    <w:pitch w:val="variable"/>
    <w:sig w:usb0="A00000EF" w:usb1="5000204B" w:usb2="00000000" w:usb3="00000000" w:csb0="00000093"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33D"/>
    <w:multiLevelType w:val="hybridMultilevel"/>
    <w:tmpl w:val="7A6E2C0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0A1298"/>
    <w:multiLevelType w:val="hybridMultilevel"/>
    <w:tmpl w:val="E440F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32498B"/>
    <w:multiLevelType w:val="hybridMultilevel"/>
    <w:tmpl w:val="F260D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CB4BD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7B538E"/>
    <w:multiLevelType w:val="hybridMultilevel"/>
    <w:tmpl w:val="BF70D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57BAF0"/>
    <w:multiLevelType w:val="hybridMultilevel"/>
    <w:tmpl w:val="6068FEA6"/>
    <w:lvl w:ilvl="0" w:tplc="F3E88EE4">
      <w:start w:val="1"/>
      <w:numFmt w:val="bullet"/>
      <w:lvlText w:val=""/>
      <w:lvlJc w:val="left"/>
      <w:pPr>
        <w:ind w:left="720" w:hanging="360"/>
      </w:pPr>
      <w:rPr>
        <w:rFonts w:ascii="Symbol" w:hAnsi="Symbol" w:hint="default"/>
      </w:rPr>
    </w:lvl>
    <w:lvl w:ilvl="1" w:tplc="4328C8E8">
      <w:start w:val="1"/>
      <w:numFmt w:val="bullet"/>
      <w:lvlText w:val="o"/>
      <w:lvlJc w:val="left"/>
      <w:pPr>
        <w:ind w:left="1440" w:hanging="360"/>
      </w:pPr>
      <w:rPr>
        <w:rFonts w:ascii="Courier New" w:hAnsi="Courier New" w:cs="Times New Roman" w:hint="default"/>
      </w:rPr>
    </w:lvl>
    <w:lvl w:ilvl="2" w:tplc="24A89024">
      <w:start w:val="1"/>
      <w:numFmt w:val="bullet"/>
      <w:lvlText w:val=""/>
      <w:lvlJc w:val="left"/>
      <w:pPr>
        <w:ind w:left="2160" w:hanging="360"/>
      </w:pPr>
      <w:rPr>
        <w:rFonts w:ascii="Wingdings" w:hAnsi="Wingdings" w:hint="default"/>
      </w:rPr>
    </w:lvl>
    <w:lvl w:ilvl="3" w:tplc="2ABA8954">
      <w:start w:val="1"/>
      <w:numFmt w:val="bullet"/>
      <w:lvlText w:val=""/>
      <w:lvlJc w:val="left"/>
      <w:pPr>
        <w:ind w:left="2880" w:hanging="360"/>
      </w:pPr>
      <w:rPr>
        <w:rFonts w:ascii="Symbol" w:hAnsi="Symbol" w:hint="default"/>
      </w:rPr>
    </w:lvl>
    <w:lvl w:ilvl="4" w:tplc="CB24A83C">
      <w:start w:val="1"/>
      <w:numFmt w:val="bullet"/>
      <w:lvlText w:val="o"/>
      <w:lvlJc w:val="left"/>
      <w:pPr>
        <w:ind w:left="3600" w:hanging="360"/>
      </w:pPr>
      <w:rPr>
        <w:rFonts w:ascii="Courier New" w:hAnsi="Courier New" w:cs="Times New Roman" w:hint="default"/>
      </w:rPr>
    </w:lvl>
    <w:lvl w:ilvl="5" w:tplc="B6E62F84">
      <w:start w:val="1"/>
      <w:numFmt w:val="bullet"/>
      <w:lvlText w:val=""/>
      <w:lvlJc w:val="left"/>
      <w:pPr>
        <w:ind w:left="4320" w:hanging="360"/>
      </w:pPr>
      <w:rPr>
        <w:rFonts w:ascii="Wingdings" w:hAnsi="Wingdings" w:hint="default"/>
      </w:rPr>
    </w:lvl>
    <w:lvl w:ilvl="6" w:tplc="27C65DEE">
      <w:start w:val="1"/>
      <w:numFmt w:val="bullet"/>
      <w:lvlText w:val=""/>
      <w:lvlJc w:val="left"/>
      <w:pPr>
        <w:ind w:left="5040" w:hanging="360"/>
      </w:pPr>
      <w:rPr>
        <w:rFonts w:ascii="Symbol" w:hAnsi="Symbol" w:hint="default"/>
      </w:rPr>
    </w:lvl>
    <w:lvl w:ilvl="7" w:tplc="110447AA">
      <w:start w:val="1"/>
      <w:numFmt w:val="bullet"/>
      <w:lvlText w:val="o"/>
      <w:lvlJc w:val="left"/>
      <w:pPr>
        <w:ind w:left="5760" w:hanging="360"/>
      </w:pPr>
      <w:rPr>
        <w:rFonts w:ascii="Courier New" w:hAnsi="Courier New" w:cs="Times New Roman" w:hint="default"/>
      </w:rPr>
    </w:lvl>
    <w:lvl w:ilvl="8" w:tplc="B7B42914">
      <w:start w:val="1"/>
      <w:numFmt w:val="bullet"/>
      <w:lvlText w:val=""/>
      <w:lvlJc w:val="left"/>
      <w:pPr>
        <w:ind w:left="6480" w:hanging="360"/>
      </w:pPr>
      <w:rPr>
        <w:rFonts w:ascii="Wingdings" w:hAnsi="Wingdings" w:hint="default"/>
      </w:rPr>
    </w:lvl>
  </w:abstractNum>
  <w:abstractNum w:abstractNumId="6" w15:restartNumberingAfterBreak="0">
    <w:nsid w:val="122F4129"/>
    <w:multiLevelType w:val="hybridMultilevel"/>
    <w:tmpl w:val="0076F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66690A"/>
    <w:multiLevelType w:val="hybridMultilevel"/>
    <w:tmpl w:val="E9562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DC5AE5"/>
    <w:multiLevelType w:val="hybridMultilevel"/>
    <w:tmpl w:val="B30C4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0A0982"/>
    <w:multiLevelType w:val="hybridMultilevel"/>
    <w:tmpl w:val="E72E5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CC4AC3"/>
    <w:multiLevelType w:val="hybridMultilevel"/>
    <w:tmpl w:val="DACEC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00E04C"/>
    <w:multiLevelType w:val="hybridMultilevel"/>
    <w:tmpl w:val="0FE06DF2"/>
    <w:lvl w:ilvl="0" w:tplc="498CFB4E">
      <w:start w:val="1"/>
      <w:numFmt w:val="decimal"/>
      <w:lvlText w:val="%1."/>
      <w:lvlJc w:val="left"/>
      <w:pPr>
        <w:ind w:left="720" w:hanging="360"/>
      </w:pPr>
    </w:lvl>
    <w:lvl w:ilvl="1" w:tplc="6A40940C">
      <w:start w:val="1"/>
      <w:numFmt w:val="lowerLetter"/>
      <w:lvlText w:val="%2."/>
      <w:lvlJc w:val="left"/>
      <w:pPr>
        <w:ind w:left="1440" w:hanging="360"/>
      </w:pPr>
    </w:lvl>
    <w:lvl w:ilvl="2" w:tplc="0C7AE2EE">
      <w:start w:val="1"/>
      <w:numFmt w:val="lowerRoman"/>
      <w:lvlText w:val="%3."/>
      <w:lvlJc w:val="right"/>
      <w:pPr>
        <w:ind w:left="2160" w:hanging="180"/>
      </w:pPr>
    </w:lvl>
    <w:lvl w:ilvl="3" w:tplc="67FCB49C">
      <w:start w:val="1"/>
      <w:numFmt w:val="decimal"/>
      <w:lvlText w:val="%4."/>
      <w:lvlJc w:val="left"/>
      <w:pPr>
        <w:ind w:left="2880" w:hanging="360"/>
      </w:pPr>
    </w:lvl>
    <w:lvl w:ilvl="4" w:tplc="794A9E66">
      <w:start w:val="1"/>
      <w:numFmt w:val="lowerLetter"/>
      <w:lvlText w:val="%5."/>
      <w:lvlJc w:val="left"/>
      <w:pPr>
        <w:ind w:left="3600" w:hanging="360"/>
      </w:pPr>
    </w:lvl>
    <w:lvl w:ilvl="5" w:tplc="4FD8A0E2">
      <w:start w:val="1"/>
      <w:numFmt w:val="lowerRoman"/>
      <w:lvlText w:val="%6."/>
      <w:lvlJc w:val="right"/>
      <w:pPr>
        <w:ind w:left="4320" w:hanging="180"/>
      </w:pPr>
    </w:lvl>
    <w:lvl w:ilvl="6" w:tplc="708C3B3E">
      <w:start w:val="1"/>
      <w:numFmt w:val="decimal"/>
      <w:lvlText w:val="%7."/>
      <w:lvlJc w:val="left"/>
      <w:pPr>
        <w:ind w:left="5040" w:hanging="360"/>
      </w:pPr>
    </w:lvl>
    <w:lvl w:ilvl="7" w:tplc="457AA8B6">
      <w:start w:val="1"/>
      <w:numFmt w:val="lowerLetter"/>
      <w:lvlText w:val="%8."/>
      <w:lvlJc w:val="left"/>
      <w:pPr>
        <w:ind w:left="5760" w:hanging="360"/>
      </w:pPr>
    </w:lvl>
    <w:lvl w:ilvl="8" w:tplc="CD966FD4">
      <w:start w:val="1"/>
      <w:numFmt w:val="lowerRoman"/>
      <w:lvlText w:val="%9."/>
      <w:lvlJc w:val="right"/>
      <w:pPr>
        <w:ind w:left="6480" w:hanging="180"/>
      </w:pPr>
    </w:lvl>
  </w:abstractNum>
  <w:abstractNum w:abstractNumId="12" w15:restartNumberingAfterBreak="0">
    <w:nsid w:val="201A38C6"/>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3" w15:restartNumberingAfterBreak="0">
    <w:nsid w:val="235702CD"/>
    <w:multiLevelType w:val="hybridMultilevel"/>
    <w:tmpl w:val="8AFC7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E82A9D"/>
    <w:multiLevelType w:val="hybridMultilevel"/>
    <w:tmpl w:val="173C9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3F80CA4"/>
    <w:multiLevelType w:val="hybridMultilevel"/>
    <w:tmpl w:val="303CC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9DBC685"/>
    <w:multiLevelType w:val="hybridMultilevel"/>
    <w:tmpl w:val="FFFFFFFF"/>
    <w:lvl w:ilvl="0" w:tplc="AE9AE752">
      <w:start w:val="1"/>
      <w:numFmt w:val="bullet"/>
      <w:lvlText w:val=""/>
      <w:lvlJc w:val="left"/>
      <w:pPr>
        <w:ind w:left="720" w:hanging="360"/>
      </w:pPr>
      <w:rPr>
        <w:rFonts w:ascii="Symbol" w:hAnsi="Symbol" w:hint="default"/>
      </w:rPr>
    </w:lvl>
    <w:lvl w:ilvl="1" w:tplc="BAC00B38">
      <w:start w:val="1"/>
      <w:numFmt w:val="bullet"/>
      <w:lvlText w:val="o"/>
      <w:lvlJc w:val="left"/>
      <w:pPr>
        <w:ind w:left="1440" w:hanging="360"/>
      </w:pPr>
      <w:rPr>
        <w:rFonts w:ascii="Courier New" w:hAnsi="Courier New" w:cs="Times New Roman" w:hint="default"/>
      </w:rPr>
    </w:lvl>
    <w:lvl w:ilvl="2" w:tplc="E97E1DF0">
      <w:start w:val="1"/>
      <w:numFmt w:val="bullet"/>
      <w:lvlText w:val=""/>
      <w:lvlJc w:val="left"/>
      <w:pPr>
        <w:ind w:left="2160" w:hanging="360"/>
      </w:pPr>
      <w:rPr>
        <w:rFonts w:ascii="Wingdings" w:hAnsi="Wingdings" w:hint="default"/>
      </w:rPr>
    </w:lvl>
    <w:lvl w:ilvl="3" w:tplc="037E4A8A">
      <w:start w:val="1"/>
      <w:numFmt w:val="bullet"/>
      <w:lvlText w:val=""/>
      <w:lvlJc w:val="left"/>
      <w:pPr>
        <w:ind w:left="2880" w:hanging="360"/>
      </w:pPr>
      <w:rPr>
        <w:rFonts w:ascii="Symbol" w:hAnsi="Symbol" w:hint="default"/>
      </w:rPr>
    </w:lvl>
    <w:lvl w:ilvl="4" w:tplc="E91EC984">
      <w:start w:val="1"/>
      <w:numFmt w:val="bullet"/>
      <w:lvlText w:val="o"/>
      <w:lvlJc w:val="left"/>
      <w:pPr>
        <w:ind w:left="3600" w:hanging="360"/>
      </w:pPr>
      <w:rPr>
        <w:rFonts w:ascii="Courier New" w:hAnsi="Courier New" w:cs="Times New Roman" w:hint="default"/>
      </w:rPr>
    </w:lvl>
    <w:lvl w:ilvl="5" w:tplc="595C7FD4">
      <w:start w:val="1"/>
      <w:numFmt w:val="bullet"/>
      <w:lvlText w:val=""/>
      <w:lvlJc w:val="left"/>
      <w:pPr>
        <w:ind w:left="4320" w:hanging="360"/>
      </w:pPr>
      <w:rPr>
        <w:rFonts w:ascii="Wingdings" w:hAnsi="Wingdings" w:hint="default"/>
      </w:rPr>
    </w:lvl>
    <w:lvl w:ilvl="6" w:tplc="5CE65D6E">
      <w:start w:val="1"/>
      <w:numFmt w:val="bullet"/>
      <w:lvlText w:val=""/>
      <w:lvlJc w:val="left"/>
      <w:pPr>
        <w:ind w:left="5040" w:hanging="360"/>
      </w:pPr>
      <w:rPr>
        <w:rFonts w:ascii="Symbol" w:hAnsi="Symbol" w:hint="default"/>
      </w:rPr>
    </w:lvl>
    <w:lvl w:ilvl="7" w:tplc="C6FEA902">
      <w:start w:val="1"/>
      <w:numFmt w:val="bullet"/>
      <w:lvlText w:val="o"/>
      <w:lvlJc w:val="left"/>
      <w:pPr>
        <w:ind w:left="5760" w:hanging="360"/>
      </w:pPr>
      <w:rPr>
        <w:rFonts w:ascii="Courier New" w:hAnsi="Courier New" w:cs="Times New Roman" w:hint="default"/>
      </w:rPr>
    </w:lvl>
    <w:lvl w:ilvl="8" w:tplc="247CF180">
      <w:start w:val="1"/>
      <w:numFmt w:val="bullet"/>
      <w:lvlText w:val=""/>
      <w:lvlJc w:val="left"/>
      <w:pPr>
        <w:ind w:left="6480" w:hanging="360"/>
      </w:pPr>
      <w:rPr>
        <w:rFonts w:ascii="Wingdings" w:hAnsi="Wingdings" w:hint="default"/>
      </w:rPr>
    </w:lvl>
  </w:abstractNum>
  <w:abstractNum w:abstractNumId="17" w15:restartNumberingAfterBreak="0">
    <w:nsid w:val="2C5C697C"/>
    <w:multiLevelType w:val="hybridMultilevel"/>
    <w:tmpl w:val="C7E668AE"/>
    <w:lvl w:ilvl="0" w:tplc="6AE43D22">
      <w:start w:val="1"/>
      <w:numFmt w:val="bullet"/>
      <w:lvlText w:val=""/>
      <w:lvlJc w:val="left"/>
      <w:pPr>
        <w:ind w:left="720" w:hanging="360"/>
      </w:pPr>
      <w:rPr>
        <w:rFonts w:ascii="Symbol" w:hAnsi="Symbol" w:hint="default"/>
      </w:rPr>
    </w:lvl>
    <w:lvl w:ilvl="1" w:tplc="C9A40BD4">
      <w:start w:val="1"/>
      <w:numFmt w:val="bullet"/>
      <w:lvlText w:val="o"/>
      <w:lvlJc w:val="left"/>
      <w:pPr>
        <w:ind w:left="1440" w:hanging="360"/>
      </w:pPr>
      <w:rPr>
        <w:rFonts w:ascii="Courier New" w:hAnsi="Courier New" w:cs="Times New Roman" w:hint="default"/>
      </w:rPr>
    </w:lvl>
    <w:lvl w:ilvl="2" w:tplc="0E90266C">
      <w:start w:val="1"/>
      <w:numFmt w:val="bullet"/>
      <w:lvlText w:val=""/>
      <w:lvlJc w:val="left"/>
      <w:pPr>
        <w:ind w:left="2160" w:hanging="360"/>
      </w:pPr>
      <w:rPr>
        <w:rFonts w:ascii="Wingdings" w:hAnsi="Wingdings" w:hint="default"/>
      </w:rPr>
    </w:lvl>
    <w:lvl w:ilvl="3" w:tplc="4ED015B2">
      <w:start w:val="1"/>
      <w:numFmt w:val="bullet"/>
      <w:lvlText w:val=""/>
      <w:lvlJc w:val="left"/>
      <w:pPr>
        <w:ind w:left="2880" w:hanging="360"/>
      </w:pPr>
      <w:rPr>
        <w:rFonts w:ascii="Symbol" w:hAnsi="Symbol" w:hint="default"/>
      </w:rPr>
    </w:lvl>
    <w:lvl w:ilvl="4" w:tplc="90F6A58C">
      <w:start w:val="1"/>
      <w:numFmt w:val="bullet"/>
      <w:lvlText w:val="o"/>
      <w:lvlJc w:val="left"/>
      <w:pPr>
        <w:ind w:left="3600" w:hanging="360"/>
      </w:pPr>
      <w:rPr>
        <w:rFonts w:ascii="Courier New" w:hAnsi="Courier New" w:cs="Times New Roman" w:hint="default"/>
      </w:rPr>
    </w:lvl>
    <w:lvl w:ilvl="5" w:tplc="5562E286">
      <w:start w:val="1"/>
      <w:numFmt w:val="bullet"/>
      <w:lvlText w:val=""/>
      <w:lvlJc w:val="left"/>
      <w:pPr>
        <w:ind w:left="4320" w:hanging="360"/>
      </w:pPr>
      <w:rPr>
        <w:rFonts w:ascii="Wingdings" w:hAnsi="Wingdings" w:hint="default"/>
      </w:rPr>
    </w:lvl>
    <w:lvl w:ilvl="6" w:tplc="B068F6BC">
      <w:start w:val="1"/>
      <w:numFmt w:val="bullet"/>
      <w:lvlText w:val=""/>
      <w:lvlJc w:val="left"/>
      <w:pPr>
        <w:ind w:left="5040" w:hanging="360"/>
      </w:pPr>
      <w:rPr>
        <w:rFonts w:ascii="Symbol" w:hAnsi="Symbol" w:hint="default"/>
      </w:rPr>
    </w:lvl>
    <w:lvl w:ilvl="7" w:tplc="52808716">
      <w:start w:val="1"/>
      <w:numFmt w:val="bullet"/>
      <w:lvlText w:val="o"/>
      <w:lvlJc w:val="left"/>
      <w:pPr>
        <w:ind w:left="5760" w:hanging="360"/>
      </w:pPr>
      <w:rPr>
        <w:rFonts w:ascii="Courier New" w:hAnsi="Courier New" w:cs="Times New Roman" w:hint="default"/>
      </w:rPr>
    </w:lvl>
    <w:lvl w:ilvl="8" w:tplc="E5FEE9AE">
      <w:start w:val="1"/>
      <w:numFmt w:val="bullet"/>
      <w:lvlText w:val=""/>
      <w:lvlJc w:val="left"/>
      <w:pPr>
        <w:ind w:left="6480" w:hanging="360"/>
      </w:pPr>
      <w:rPr>
        <w:rFonts w:ascii="Wingdings" w:hAnsi="Wingdings" w:hint="default"/>
      </w:rPr>
    </w:lvl>
  </w:abstractNum>
  <w:abstractNum w:abstractNumId="18" w15:restartNumberingAfterBreak="0">
    <w:nsid w:val="2CBB2BCB"/>
    <w:multiLevelType w:val="hybridMultilevel"/>
    <w:tmpl w:val="A5846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CE62125"/>
    <w:multiLevelType w:val="hybridMultilevel"/>
    <w:tmpl w:val="7D88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E74C57"/>
    <w:multiLevelType w:val="hybridMultilevel"/>
    <w:tmpl w:val="F1B42B4A"/>
    <w:lvl w:ilvl="0" w:tplc="3A46150A">
      <w:start w:val="1"/>
      <w:numFmt w:val="decimal"/>
      <w:lvlText w:val="%1."/>
      <w:lvlJc w:val="left"/>
      <w:pPr>
        <w:ind w:left="720" w:hanging="360"/>
      </w:pPr>
    </w:lvl>
    <w:lvl w:ilvl="1" w:tplc="73840906">
      <w:start w:val="1"/>
      <w:numFmt w:val="lowerLetter"/>
      <w:lvlText w:val="%2."/>
      <w:lvlJc w:val="left"/>
      <w:pPr>
        <w:ind w:left="1440" w:hanging="360"/>
      </w:pPr>
    </w:lvl>
    <w:lvl w:ilvl="2" w:tplc="AF4EB89A">
      <w:start w:val="1"/>
      <w:numFmt w:val="lowerRoman"/>
      <w:lvlText w:val="%3."/>
      <w:lvlJc w:val="right"/>
      <w:pPr>
        <w:ind w:left="2160" w:hanging="180"/>
      </w:pPr>
    </w:lvl>
    <w:lvl w:ilvl="3" w:tplc="6922D0C6">
      <w:start w:val="1"/>
      <w:numFmt w:val="decimal"/>
      <w:lvlText w:val="%4."/>
      <w:lvlJc w:val="left"/>
      <w:pPr>
        <w:ind w:left="2880" w:hanging="360"/>
      </w:pPr>
    </w:lvl>
    <w:lvl w:ilvl="4" w:tplc="F31294FA">
      <w:start w:val="1"/>
      <w:numFmt w:val="lowerLetter"/>
      <w:lvlText w:val="%5."/>
      <w:lvlJc w:val="left"/>
      <w:pPr>
        <w:ind w:left="3600" w:hanging="360"/>
      </w:pPr>
    </w:lvl>
    <w:lvl w:ilvl="5" w:tplc="AFB890DE">
      <w:start w:val="1"/>
      <w:numFmt w:val="lowerRoman"/>
      <w:lvlText w:val="%6."/>
      <w:lvlJc w:val="right"/>
      <w:pPr>
        <w:ind w:left="4320" w:hanging="180"/>
      </w:pPr>
    </w:lvl>
    <w:lvl w:ilvl="6" w:tplc="34003EC4">
      <w:start w:val="1"/>
      <w:numFmt w:val="decimal"/>
      <w:lvlText w:val="%7."/>
      <w:lvlJc w:val="left"/>
      <w:pPr>
        <w:ind w:left="5040" w:hanging="360"/>
      </w:pPr>
    </w:lvl>
    <w:lvl w:ilvl="7" w:tplc="3C3AE520">
      <w:start w:val="1"/>
      <w:numFmt w:val="lowerLetter"/>
      <w:lvlText w:val="%8."/>
      <w:lvlJc w:val="left"/>
      <w:pPr>
        <w:ind w:left="5760" w:hanging="360"/>
      </w:pPr>
    </w:lvl>
    <w:lvl w:ilvl="8" w:tplc="8A8CB2B6">
      <w:start w:val="1"/>
      <w:numFmt w:val="lowerRoman"/>
      <w:lvlText w:val="%9."/>
      <w:lvlJc w:val="right"/>
      <w:pPr>
        <w:ind w:left="6480" w:hanging="180"/>
      </w:pPr>
    </w:lvl>
  </w:abstractNum>
  <w:abstractNum w:abstractNumId="21" w15:restartNumberingAfterBreak="0">
    <w:nsid w:val="2D7C92CA"/>
    <w:multiLevelType w:val="hybridMultilevel"/>
    <w:tmpl w:val="73D66A82"/>
    <w:lvl w:ilvl="0" w:tplc="8CB8DE64">
      <w:start w:val="1"/>
      <w:numFmt w:val="decimal"/>
      <w:lvlText w:val="%1."/>
      <w:lvlJc w:val="left"/>
      <w:pPr>
        <w:ind w:left="720" w:hanging="360"/>
      </w:pPr>
    </w:lvl>
    <w:lvl w:ilvl="1" w:tplc="408A730A">
      <w:start w:val="1"/>
      <w:numFmt w:val="lowerLetter"/>
      <w:lvlText w:val="%2."/>
      <w:lvlJc w:val="left"/>
      <w:pPr>
        <w:ind w:left="1440" w:hanging="360"/>
      </w:pPr>
    </w:lvl>
    <w:lvl w:ilvl="2" w:tplc="BE184A06">
      <w:start w:val="1"/>
      <w:numFmt w:val="lowerRoman"/>
      <w:lvlText w:val="%3."/>
      <w:lvlJc w:val="right"/>
      <w:pPr>
        <w:ind w:left="2160" w:hanging="180"/>
      </w:pPr>
    </w:lvl>
    <w:lvl w:ilvl="3" w:tplc="1ED8B3FE">
      <w:start w:val="1"/>
      <w:numFmt w:val="decimal"/>
      <w:lvlText w:val="%4."/>
      <w:lvlJc w:val="left"/>
      <w:pPr>
        <w:ind w:left="2880" w:hanging="360"/>
      </w:pPr>
    </w:lvl>
    <w:lvl w:ilvl="4" w:tplc="AD147954">
      <w:start w:val="1"/>
      <w:numFmt w:val="lowerLetter"/>
      <w:lvlText w:val="%5."/>
      <w:lvlJc w:val="left"/>
      <w:pPr>
        <w:ind w:left="3600" w:hanging="360"/>
      </w:pPr>
    </w:lvl>
    <w:lvl w:ilvl="5" w:tplc="2C2E32B8">
      <w:start w:val="1"/>
      <w:numFmt w:val="lowerRoman"/>
      <w:lvlText w:val="%6."/>
      <w:lvlJc w:val="right"/>
      <w:pPr>
        <w:ind w:left="4320" w:hanging="180"/>
      </w:pPr>
    </w:lvl>
    <w:lvl w:ilvl="6" w:tplc="2F16BBCE">
      <w:start w:val="1"/>
      <w:numFmt w:val="decimal"/>
      <w:lvlText w:val="%7."/>
      <w:lvlJc w:val="left"/>
      <w:pPr>
        <w:ind w:left="5040" w:hanging="360"/>
      </w:pPr>
    </w:lvl>
    <w:lvl w:ilvl="7" w:tplc="5C8CC820">
      <w:start w:val="1"/>
      <w:numFmt w:val="lowerLetter"/>
      <w:lvlText w:val="%8."/>
      <w:lvlJc w:val="left"/>
      <w:pPr>
        <w:ind w:left="5760" w:hanging="360"/>
      </w:pPr>
    </w:lvl>
    <w:lvl w:ilvl="8" w:tplc="0BC4AA08">
      <w:start w:val="1"/>
      <w:numFmt w:val="lowerRoman"/>
      <w:lvlText w:val="%9."/>
      <w:lvlJc w:val="right"/>
      <w:pPr>
        <w:ind w:left="6480" w:hanging="180"/>
      </w:pPr>
    </w:lvl>
  </w:abstractNum>
  <w:abstractNum w:abstractNumId="22" w15:restartNumberingAfterBreak="0">
    <w:nsid w:val="2EC446F5"/>
    <w:multiLevelType w:val="hybridMultilevel"/>
    <w:tmpl w:val="E3F49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F58D1B6"/>
    <w:multiLevelType w:val="hybridMultilevel"/>
    <w:tmpl w:val="249E41A8"/>
    <w:lvl w:ilvl="0" w:tplc="5630FFA8">
      <w:start w:val="1"/>
      <w:numFmt w:val="decimal"/>
      <w:lvlText w:val="%1."/>
      <w:lvlJc w:val="left"/>
      <w:pPr>
        <w:ind w:left="720" w:hanging="360"/>
      </w:pPr>
    </w:lvl>
    <w:lvl w:ilvl="1" w:tplc="74C4EAA2">
      <w:start w:val="1"/>
      <w:numFmt w:val="lowerLetter"/>
      <w:lvlText w:val="%2."/>
      <w:lvlJc w:val="left"/>
      <w:pPr>
        <w:ind w:left="1440" w:hanging="360"/>
      </w:pPr>
    </w:lvl>
    <w:lvl w:ilvl="2" w:tplc="002016A4">
      <w:start w:val="1"/>
      <w:numFmt w:val="lowerRoman"/>
      <w:lvlText w:val="%3."/>
      <w:lvlJc w:val="right"/>
      <w:pPr>
        <w:ind w:left="2160" w:hanging="180"/>
      </w:pPr>
    </w:lvl>
    <w:lvl w:ilvl="3" w:tplc="FA6A35F2">
      <w:start w:val="1"/>
      <w:numFmt w:val="decimal"/>
      <w:lvlText w:val="%4."/>
      <w:lvlJc w:val="left"/>
      <w:pPr>
        <w:ind w:left="2880" w:hanging="360"/>
      </w:pPr>
    </w:lvl>
    <w:lvl w:ilvl="4" w:tplc="066A88D2">
      <w:start w:val="1"/>
      <w:numFmt w:val="lowerLetter"/>
      <w:lvlText w:val="%5."/>
      <w:lvlJc w:val="left"/>
      <w:pPr>
        <w:ind w:left="3600" w:hanging="360"/>
      </w:pPr>
    </w:lvl>
    <w:lvl w:ilvl="5" w:tplc="665EB0D0">
      <w:start w:val="1"/>
      <w:numFmt w:val="lowerRoman"/>
      <w:lvlText w:val="%6."/>
      <w:lvlJc w:val="right"/>
      <w:pPr>
        <w:ind w:left="4320" w:hanging="180"/>
      </w:pPr>
    </w:lvl>
    <w:lvl w:ilvl="6" w:tplc="9DB6EE9E">
      <w:start w:val="1"/>
      <w:numFmt w:val="decimal"/>
      <w:lvlText w:val="%7."/>
      <w:lvlJc w:val="left"/>
      <w:pPr>
        <w:ind w:left="5040" w:hanging="360"/>
      </w:pPr>
    </w:lvl>
    <w:lvl w:ilvl="7" w:tplc="CEC010F2">
      <w:start w:val="1"/>
      <w:numFmt w:val="lowerLetter"/>
      <w:lvlText w:val="%8."/>
      <w:lvlJc w:val="left"/>
      <w:pPr>
        <w:ind w:left="5760" w:hanging="360"/>
      </w:pPr>
    </w:lvl>
    <w:lvl w:ilvl="8" w:tplc="63646EC4">
      <w:start w:val="1"/>
      <w:numFmt w:val="lowerRoman"/>
      <w:lvlText w:val="%9."/>
      <w:lvlJc w:val="right"/>
      <w:pPr>
        <w:ind w:left="6480" w:hanging="180"/>
      </w:pPr>
    </w:lvl>
  </w:abstractNum>
  <w:abstractNum w:abstractNumId="24" w15:restartNumberingAfterBreak="0">
    <w:nsid w:val="2F5A5C9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C43D93"/>
    <w:multiLevelType w:val="hybridMultilevel"/>
    <w:tmpl w:val="C1B6D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187334B"/>
    <w:multiLevelType w:val="hybridMultilevel"/>
    <w:tmpl w:val="FFA4DBAE"/>
    <w:lvl w:ilvl="0" w:tplc="2CFE6A04">
      <w:start w:val="1"/>
      <w:numFmt w:val="bullet"/>
      <w:lvlText w:val="·"/>
      <w:lvlJc w:val="left"/>
      <w:pPr>
        <w:ind w:left="720" w:hanging="360"/>
      </w:pPr>
      <w:rPr>
        <w:rFonts w:ascii="Symbol" w:hAnsi="Symbol" w:hint="default"/>
      </w:rPr>
    </w:lvl>
    <w:lvl w:ilvl="1" w:tplc="9738C97A">
      <w:start w:val="1"/>
      <w:numFmt w:val="bullet"/>
      <w:lvlText w:val="o"/>
      <w:lvlJc w:val="left"/>
      <w:pPr>
        <w:ind w:left="1440" w:hanging="360"/>
      </w:pPr>
      <w:rPr>
        <w:rFonts w:ascii="Courier New" w:hAnsi="Courier New" w:cs="Times New Roman" w:hint="default"/>
      </w:rPr>
    </w:lvl>
    <w:lvl w:ilvl="2" w:tplc="EE9A5182">
      <w:start w:val="1"/>
      <w:numFmt w:val="bullet"/>
      <w:lvlText w:val=""/>
      <w:lvlJc w:val="left"/>
      <w:pPr>
        <w:ind w:left="2160" w:hanging="360"/>
      </w:pPr>
      <w:rPr>
        <w:rFonts w:ascii="Wingdings" w:hAnsi="Wingdings" w:hint="default"/>
      </w:rPr>
    </w:lvl>
    <w:lvl w:ilvl="3" w:tplc="4770FA3C">
      <w:start w:val="1"/>
      <w:numFmt w:val="bullet"/>
      <w:lvlText w:val=""/>
      <w:lvlJc w:val="left"/>
      <w:pPr>
        <w:ind w:left="2880" w:hanging="360"/>
      </w:pPr>
      <w:rPr>
        <w:rFonts w:ascii="Symbol" w:hAnsi="Symbol" w:hint="default"/>
      </w:rPr>
    </w:lvl>
    <w:lvl w:ilvl="4" w:tplc="592ECD34">
      <w:start w:val="1"/>
      <w:numFmt w:val="bullet"/>
      <w:lvlText w:val="o"/>
      <w:lvlJc w:val="left"/>
      <w:pPr>
        <w:ind w:left="3600" w:hanging="360"/>
      </w:pPr>
      <w:rPr>
        <w:rFonts w:ascii="Courier New" w:hAnsi="Courier New" w:cs="Times New Roman" w:hint="default"/>
      </w:rPr>
    </w:lvl>
    <w:lvl w:ilvl="5" w:tplc="BF328AF4">
      <w:start w:val="1"/>
      <w:numFmt w:val="bullet"/>
      <w:lvlText w:val=""/>
      <w:lvlJc w:val="left"/>
      <w:pPr>
        <w:ind w:left="4320" w:hanging="360"/>
      </w:pPr>
      <w:rPr>
        <w:rFonts w:ascii="Wingdings" w:hAnsi="Wingdings" w:hint="default"/>
      </w:rPr>
    </w:lvl>
    <w:lvl w:ilvl="6" w:tplc="23BAF2D0">
      <w:start w:val="1"/>
      <w:numFmt w:val="bullet"/>
      <w:lvlText w:val=""/>
      <w:lvlJc w:val="left"/>
      <w:pPr>
        <w:ind w:left="5040" w:hanging="360"/>
      </w:pPr>
      <w:rPr>
        <w:rFonts w:ascii="Symbol" w:hAnsi="Symbol" w:hint="default"/>
      </w:rPr>
    </w:lvl>
    <w:lvl w:ilvl="7" w:tplc="DABE5AB8">
      <w:start w:val="1"/>
      <w:numFmt w:val="bullet"/>
      <w:lvlText w:val="o"/>
      <w:lvlJc w:val="left"/>
      <w:pPr>
        <w:ind w:left="5760" w:hanging="360"/>
      </w:pPr>
      <w:rPr>
        <w:rFonts w:ascii="Courier New" w:hAnsi="Courier New" w:cs="Times New Roman" w:hint="default"/>
      </w:rPr>
    </w:lvl>
    <w:lvl w:ilvl="8" w:tplc="D13C8328">
      <w:start w:val="1"/>
      <w:numFmt w:val="bullet"/>
      <w:lvlText w:val=""/>
      <w:lvlJc w:val="left"/>
      <w:pPr>
        <w:ind w:left="6480" w:hanging="360"/>
      </w:pPr>
      <w:rPr>
        <w:rFonts w:ascii="Wingdings" w:hAnsi="Wingdings" w:hint="default"/>
      </w:rPr>
    </w:lvl>
  </w:abstractNum>
  <w:abstractNum w:abstractNumId="27" w15:restartNumberingAfterBreak="0">
    <w:nsid w:val="35071014"/>
    <w:multiLevelType w:val="hybridMultilevel"/>
    <w:tmpl w:val="2104D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083225"/>
    <w:multiLevelType w:val="hybridMultilevel"/>
    <w:tmpl w:val="3FCCDDA4"/>
    <w:lvl w:ilvl="0" w:tplc="683E965A">
      <w:start w:val="1"/>
      <w:numFmt w:val="bullet"/>
      <w:lvlText w:val=""/>
      <w:lvlJc w:val="left"/>
      <w:pPr>
        <w:ind w:left="720" w:hanging="360"/>
      </w:pPr>
      <w:rPr>
        <w:rFonts w:ascii="Symbol" w:hAnsi="Symbol" w:hint="default"/>
      </w:rPr>
    </w:lvl>
    <w:lvl w:ilvl="1" w:tplc="A4EEDA0C">
      <w:start w:val="1"/>
      <w:numFmt w:val="bullet"/>
      <w:lvlText w:val="o"/>
      <w:lvlJc w:val="left"/>
      <w:pPr>
        <w:ind w:left="1440" w:hanging="360"/>
      </w:pPr>
      <w:rPr>
        <w:rFonts w:ascii="Courier New" w:hAnsi="Courier New" w:cs="Times New Roman" w:hint="default"/>
      </w:rPr>
    </w:lvl>
    <w:lvl w:ilvl="2" w:tplc="9700481A">
      <w:start w:val="1"/>
      <w:numFmt w:val="bullet"/>
      <w:lvlText w:val=""/>
      <w:lvlJc w:val="left"/>
      <w:pPr>
        <w:ind w:left="2160" w:hanging="360"/>
      </w:pPr>
      <w:rPr>
        <w:rFonts w:ascii="Wingdings" w:hAnsi="Wingdings" w:hint="default"/>
      </w:rPr>
    </w:lvl>
    <w:lvl w:ilvl="3" w:tplc="91F62768">
      <w:start w:val="1"/>
      <w:numFmt w:val="bullet"/>
      <w:lvlText w:val=""/>
      <w:lvlJc w:val="left"/>
      <w:pPr>
        <w:ind w:left="2880" w:hanging="360"/>
      </w:pPr>
      <w:rPr>
        <w:rFonts w:ascii="Symbol" w:hAnsi="Symbol" w:hint="default"/>
      </w:rPr>
    </w:lvl>
    <w:lvl w:ilvl="4" w:tplc="2576AA68">
      <w:start w:val="1"/>
      <w:numFmt w:val="bullet"/>
      <w:lvlText w:val="o"/>
      <w:lvlJc w:val="left"/>
      <w:pPr>
        <w:ind w:left="3600" w:hanging="360"/>
      </w:pPr>
      <w:rPr>
        <w:rFonts w:ascii="Courier New" w:hAnsi="Courier New" w:cs="Times New Roman" w:hint="default"/>
      </w:rPr>
    </w:lvl>
    <w:lvl w:ilvl="5" w:tplc="EA44B3C4">
      <w:start w:val="1"/>
      <w:numFmt w:val="bullet"/>
      <w:lvlText w:val=""/>
      <w:lvlJc w:val="left"/>
      <w:pPr>
        <w:ind w:left="4320" w:hanging="360"/>
      </w:pPr>
      <w:rPr>
        <w:rFonts w:ascii="Wingdings" w:hAnsi="Wingdings" w:hint="default"/>
      </w:rPr>
    </w:lvl>
    <w:lvl w:ilvl="6" w:tplc="1B6A1400">
      <w:start w:val="1"/>
      <w:numFmt w:val="bullet"/>
      <w:lvlText w:val=""/>
      <w:lvlJc w:val="left"/>
      <w:pPr>
        <w:ind w:left="5040" w:hanging="360"/>
      </w:pPr>
      <w:rPr>
        <w:rFonts w:ascii="Symbol" w:hAnsi="Symbol" w:hint="default"/>
      </w:rPr>
    </w:lvl>
    <w:lvl w:ilvl="7" w:tplc="C0B67922">
      <w:start w:val="1"/>
      <w:numFmt w:val="bullet"/>
      <w:lvlText w:val="o"/>
      <w:lvlJc w:val="left"/>
      <w:pPr>
        <w:ind w:left="5760" w:hanging="360"/>
      </w:pPr>
      <w:rPr>
        <w:rFonts w:ascii="Courier New" w:hAnsi="Courier New" w:cs="Times New Roman" w:hint="default"/>
      </w:rPr>
    </w:lvl>
    <w:lvl w:ilvl="8" w:tplc="78E8019C">
      <w:start w:val="1"/>
      <w:numFmt w:val="bullet"/>
      <w:lvlText w:val=""/>
      <w:lvlJc w:val="left"/>
      <w:pPr>
        <w:ind w:left="6480" w:hanging="360"/>
      </w:pPr>
      <w:rPr>
        <w:rFonts w:ascii="Wingdings" w:hAnsi="Wingdings" w:hint="default"/>
      </w:rPr>
    </w:lvl>
  </w:abstractNum>
  <w:abstractNum w:abstractNumId="29" w15:restartNumberingAfterBreak="0">
    <w:nsid w:val="3801C190"/>
    <w:multiLevelType w:val="hybridMultilevel"/>
    <w:tmpl w:val="8DC416BC"/>
    <w:lvl w:ilvl="0" w:tplc="739CB264">
      <w:start w:val="1"/>
      <w:numFmt w:val="bullet"/>
      <w:lvlText w:val=""/>
      <w:lvlJc w:val="left"/>
      <w:pPr>
        <w:ind w:left="720" w:hanging="360"/>
      </w:pPr>
      <w:rPr>
        <w:rFonts w:ascii="Symbol" w:hAnsi="Symbol" w:hint="default"/>
      </w:rPr>
    </w:lvl>
    <w:lvl w:ilvl="1" w:tplc="3B50D00C">
      <w:start w:val="1"/>
      <w:numFmt w:val="bullet"/>
      <w:lvlText w:val="o"/>
      <w:lvlJc w:val="left"/>
      <w:pPr>
        <w:ind w:left="1440" w:hanging="360"/>
      </w:pPr>
      <w:rPr>
        <w:rFonts w:ascii="Courier New" w:hAnsi="Courier New" w:cs="Times New Roman" w:hint="default"/>
      </w:rPr>
    </w:lvl>
    <w:lvl w:ilvl="2" w:tplc="D502549E">
      <w:start w:val="1"/>
      <w:numFmt w:val="bullet"/>
      <w:lvlText w:val=""/>
      <w:lvlJc w:val="left"/>
      <w:pPr>
        <w:ind w:left="2160" w:hanging="360"/>
      </w:pPr>
      <w:rPr>
        <w:rFonts w:ascii="Wingdings" w:hAnsi="Wingdings" w:hint="default"/>
      </w:rPr>
    </w:lvl>
    <w:lvl w:ilvl="3" w:tplc="CB0878E6">
      <w:start w:val="1"/>
      <w:numFmt w:val="bullet"/>
      <w:lvlText w:val=""/>
      <w:lvlJc w:val="left"/>
      <w:pPr>
        <w:ind w:left="2880" w:hanging="360"/>
      </w:pPr>
      <w:rPr>
        <w:rFonts w:ascii="Symbol" w:hAnsi="Symbol" w:hint="default"/>
      </w:rPr>
    </w:lvl>
    <w:lvl w:ilvl="4" w:tplc="74AA31D2">
      <w:start w:val="1"/>
      <w:numFmt w:val="bullet"/>
      <w:lvlText w:val="o"/>
      <w:lvlJc w:val="left"/>
      <w:pPr>
        <w:ind w:left="3600" w:hanging="360"/>
      </w:pPr>
      <w:rPr>
        <w:rFonts w:ascii="Courier New" w:hAnsi="Courier New" w:cs="Times New Roman" w:hint="default"/>
      </w:rPr>
    </w:lvl>
    <w:lvl w:ilvl="5" w:tplc="C324B1B4">
      <w:start w:val="1"/>
      <w:numFmt w:val="bullet"/>
      <w:lvlText w:val=""/>
      <w:lvlJc w:val="left"/>
      <w:pPr>
        <w:ind w:left="4320" w:hanging="360"/>
      </w:pPr>
      <w:rPr>
        <w:rFonts w:ascii="Wingdings" w:hAnsi="Wingdings" w:hint="default"/>
      </w:rPr>
    </w:lvl>
    <w:lvl w:ilvl="6" w:tplc="D428BAE0">
      <w:start w:val="1"/>
      <w:numFmt w:val="bullet"/>
      <w:lvlText w:val=""/>
      <w:lvlJc w:val="left"/>
      <w:pPr>
        <w:ind w:left="5040" w:hanging="360"/>
      </w:pPr>
      <w:rPr>
        <w:rFonts w:ascii="Symbol" w:hAnsi="Symbol" w:hint="default"/>
      </w:rPr>
    </w:lvl>
    <w:lvl w:ilvl="7" w:tplc="CF92D168">
      <w:start w:val="1"/>
      <w:numFmt w:val="bullet"/>
      <w:lvlText w:val="o"/>
      <w:lvlJc w:val="left"/>
      <w:pPr>
        <w:ind w:left="5760" w:hanging="360"/>
      </w:pPr>
      <w:rPr>
        <w:rFonts w:ascii="Courier New" w:hAnsi="Courier New" w:cs="Times New Roman" w:hint="default"/>
      </w:rPr>
    </w:lvl>
    <w:lvl w:ilvl="8" w:tplc="262E2D90">
      <w:start w:val="1"/>
      <w:numFmt w:val="bullet"/>
      <w:lvlText w:val=""/>
      <w:lvlJc w:val="left"/>
      <w:pPr>
        <w:ind w:left="6480" w:hanging="360"/>
      </w:pPr>
      <w:rPr>
        <w:rFonts w:ascii="Wingdings" w:hAnsi="Wingdings" w:hint="default"/>
      </w:rPr>
    </w:lvl>
  </w:abstractNum>
  <w:abstractNum w:abstractNumId="30" w15:restartNumberingAfterBreak="0">
    <w:nsid w:val="38FB3AE9"/>
    <w:multiLevelType w:val="hybridMultilevel"/>
    <w:tmpl w:val="E54899F4"/>
    <w:lvl w:ilvl="0" w:tplc="CCF8E5DC">
      <w:start w:val="1"/>
      <w:numFmt w:val="bullet"/>
      <w:lvlText w:val=""/>
      <w:lvlJc w:val="left"/>
      <w:pPr>
        <w:ind w:left="720" w:hanging="360"/>
      </w:pPr>
      <w:rPr>
        <w:rFonts w:ascii="Symbol" w:hAnsi="Symbol" w:hint="default"/>
      </w:rPr>
    </w:lvl>
    <w:lvl w:ilvl="1" w:tplc="EFAE877C">
      <w:start w:val="1"/>
      <w:numFmt w:val="bullet"/>
      <w:lvlText w:val="o"/>
      <w:lvlJc w:val="left"/>
      <w:pPr>
        <w:ind w:left="1440" w:hanging="360"/>
      </w:pPr>
      <w:rPr>
        <w:rFonts w:ascii="Courier New" w:hAnsi="Courier New" w:cs="Times New Roman" w:hint="default"/>
      </w:rPr>
    </w:lvl>
    <w:lvl w:ilvl="2" w:tplc="1CF41E36">
      <w:start w:val="1"/>
      <w:numFmt w:val="bullet"/>
      <w:lvlText w:val=""/>
      <w:lvlJc w:val="left"/>
      <w:pPr>
        <w:ind w:left="2160" w:hanging="360"/>
      </w:pPr>
      <w:rPr>
        <w:rFonts w:ascii="Wingdings" w:hAnsi="Wingdings" w:hint="default"/>
      </w:rPr>
    </w:lvl>
    <w:lvl w:ilvl="3" w:tplc="4240FED0">
      <w:start w:val="1"/>
      <w:numFmt w:val="bullet"/>
      <w:lvlText w:val=""/>
      <w:lvlJc w:val="left"/>
      <w:pPr>
        <w:ind w:left="2880" w:hanging="360"/>
      </w:pPr>
      <w:rPr>
        <w:rFonts w:ascii="Symbol" w:hAnsi="Symbol" w:hint="default"/>
      </w:rPr>
    </w:lvl>
    <w:lvl w:ilvl="4" w:tplc="F5707E2C">
      <w:start w:val="1"/>
      <w:numFmt w:val="bullet"/>
      <w:lvlText w:val="o"/>
      <w:lvlJc w:val="left"/>
      <w:pPr>
        <w:ind w:left="3600" w:hanging="360"/>
      </w:pPr>
      <w:rPr>
        <w:rFonts w:ascii="Courier New" w:hAnsi="Courier New" w:cs="Times New Roman" w:hint="default"/>
      </w:rPr>
    </w:lvl>
    <w:lvl w:ilvl="5" w:tplc="F2F414B0">
      <w:start w:val="1"/>
      <w:numFmt w:val="bullet"/>
      <w:lvlText w:val=""/>
      <w:lvlJc w:val="left"/>
      <w:pPr>
        <w:ind w:left="4320" w:hanging="360"/>
      </w:pPr>
      <w:rPr>
        <w:rFonts w:ascii="Wingdings" w:hAnsi="Wingdings" w:hint="default"/>
      </w:rPr>
    </w:lvl>
    <w:lvl w:ilvl="6" w:tplc="F5242022">
      <w:start w:val="1"/>
      <w:numFmt w:val="bullet"/>
      <w:lvlText w:val=""/>
      <w:lvlJc w:val="left"/>
      <w:pPr>
        <w:ind w:left="5040" w:hanging="360"/>
      </w:pPr>
      <w:rPr>
        <w:rFonts w:ascii="Symbol" w:hAnsi="Symbol" w:hint="default"/>
      </w:rPr>
    </w:lvl>
    <w:lvl w:ilvl="7" w:tplc="219A6F78">
      <w:start w:val="1"/>
      <w:numFmt w:val="bullet"/>
      <w:lvlText w:val="o"/>
      <w:lvlJc w:val="left"/>
      <w:pPr>
        <w:ind w:left="5760" w:hanging="360"/>
      </w:pPr>
      <w:rPr>
        <w:rFonts w:ascii="Courier New" w:hAnsi="Courier New" w:cs="Times New Roman" w:hint="default"/>
      </w:rPr>
    </w:lvl>
    <w:lvl w:ilvl="8" w:tplc="B3A8ADC4">
      <w:start w:val="1"/>
      <w:numFmt w:val="bullet"/>
      <w:lvlText w:val=""/>
      <w:lvlJc w:val="left"/>
      <w:pPr>
        <w:ind w:left="6480" w:hanging="360"/>
      </w:pPr>
      <w:rPr>
        <w:rFonts w:ascii="Wingdings" w:hAnsi="Wingdings" w:hint="default"/>
      </w:rPr>
    </w:lvl>
  </w:abstractNum>
  <w:abstractNum w:abstractNumId="31" w15:restartNumberingAfterBreak="0">
    <w:nsid w:val="3D830027"/>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2" w15:restartNumberingAfterBreak="0">
    <w:nsid w:val="3DA19FB9"/>
    <w:multiLevelType w:val="hybridMultilevel"/>
    <w:tmpl w:val="66567FD8"/>
    <w:lvl w:ilvl="0" w:tplc="DEDC2C8E">
      <w:start w:val="1"/>
      <w:numFmt w:val="bullet"/>
      <w:lvlText w:val=""/>
      <w:lvlJc w:val="left"/>
      <w:pPr>
        <w:ind w:left="720" w:hanging="360"/>
      </w:pPr>
      <w:rPr>
        <w:rFonts w:ascii="Symbol" w:hAnsi="Symbol" w:hint="default"/>
      </w:rPr>
    </w:lvl>
    <w:lvl w:ilvl="1" w:tplc="B0986BD2">
      <w:start w:val="1"/>
      <w:numFmt w:val="bullet"/>
      <w:lvlText w:val="o"/>
      <w:lvlJc w:val="left"/>
      <w:pPr>
        <w:ind w:left="1440" w:hanging="360"/>
      </w:pPr>
      <w:rPr>
        <w:rFonts w:ascii="Courier New" w:hAnsi="Courier New" w:hint="default"/>
      </w:rPr>
    </w:lvl>
    <w:lvl w:ilvl="2" w:tplc="EB22255A">
      <w:start w:val="1"/>
      <w:numFmt w:val="bullet"/>
      <w:lvlText w:val=""/>
      <w:lvlJc w:val="left"/>
      <w:pPr>
        <w:ind w:left="2160" w:hanging="360"/>
      </w:pPr>
      <w:rPr>
        <w:rFonts w:ascii="Wingdings" w:hAnsi="Wingdings" w:hint="default"/>
      </w:rPr>
    </w:lvl>
    <w:lvl w:ilvl="3" w:tplc="32FA00E0">
      <w:start w:val="1"/>
      <w:numFmt w:val="bullet"/>
      <w:lvlText w:val=""/>
      <w:lvlJc w:val="left"/>
      <w:pPr>
        <w:ind w:left="2880" w:hanging="360"/>
      </w:pPr>
      <w:rPr>
        <w:rFonts w:ascii="Symbol" w:hAnsi="Symbol" w:hint="default"/>
      </w:rPr>
    </w:lvl>
    <w:lvl w:ilvl="4" w:tplc="CC16142E">
      <w:start w:val="1"/>
      <w:numFmt w:val="bullet"/>
      <w:lvlText w:val="o"/>
      <w:lvlJc w:val="left"/>
      <w:pPr>
        <w:ind w:left="3600" w:hanging="360"/>
      </w:pPr>
      <w:rPr>
        <w:rFonts w:ascii="Courier New" w:hAnsi="Courier New" w:hint="default"/>
      </w:rPr>
    </w:lvl>
    <w:lvl w:ilvl="5" w:tplc="7B22485A">
      <w:start w:val="1"/>
      <w:numFmt w:val="bullet"/>
      <w:lvlText w:val=""/>
      <w:lvlJc w:val="left"/>
      <w:pPr>
        <w:ind w:left="4320" w:hanging="360"/>
      </w:pPr>
      <w:rPr>
        <w:rFonts w:ascii="Wingdings" w:hAnsi="Wingdings" w:hint="default"/>
      </w:rPr>
    </w:lvl>
    <w:lvl w:ilvl="6" w:tplc="068479B4">
      <w:start w:val="1"/>
      <w:numFmt w:val="bullet"/>
      <w:lvlText w:val=""/>
      <w:lvlJc w:val="left"/>
      <w:pPr>
        <w:ind w:left="5040" w:hanging="360"/>
      </w:pPr>
      <w:rPr>
        <w:rFonts w:ascii="Symbol" w:hAnsi="Symbol" w:hint="default"/>
      </w:rPr>
    </w:lvl>
    <w:lvl w:ilvl="7" w:tplc="89DAEC82">
      <w:start w:val="1"/>
      <w:numFmt w:val="bullet"/>
      <w:lvlText w:val="o"/>
      <w:lvlJc w:val="left"/>
      <w:pPr>
        <w:ind w:left="5760" w:hanging="360"/>
      </w:pPr>
      <w:rPr>
        <w:rFonts w:ascii="Courier New" w:hAnsi="Courier New" w:hint="default"/>
      </w:rPr>
    </w:lvl>
    <w:lvl w:ilvl="8" w:tplc="B50E64E8">
      <w:start w:val="1"/>
      <w:numFmt w:val="bullet"/>
      <w:lvlText w:val=""/>
      <w:lvlJc w:val="left"/>
      <w:pPr>
        <w:ind w:left="6480" w:hanging="360"/>
      </w:pPr>
      <w:rPr>
        <w:rFonts w:ascii="Wingdings" w:hAnsi="Wingdings" w:hint="default"/>
      </w:rPr>
    </w:lvl>
  </w:abstractNum>
  <w:abstractNum w:abstractNumId="33" w15:restartNumberingAfterBreak="0">
    <w:nsid w:val="3E3DB840"/>
    <w:multiLevelType w:val="hybridMultilevel"/>
    <w:tmpl w:val="DA5EF95C"/>
    <w:lvl w:ilvl="0" w:tplc="EEAA9964">
      <w:start w:val="1"/>
      <w:numFmt w:val="bullet"/>
      <w:lvlText w:val=""/>
      <w:lvlJc w:val="left"/>
      <w:pPr>
        <w:ind w:left="720" w:hanging="360"/>
      </w:pPr>
      <w:rPr>
        <w:rFonts w:ascii="Symbol" w:hAnsi="Symbol" w:hint="default"/>
      </w:rPr>
    </w:lvl>
    <w:lvl w:ilvl="1" w:tplc="0510A338">
      <w:start w:val="1"/>
      <w:numFmt w:val="bullet"/>
      <w:lvlText w:val="o"/>
      <w:lvlJc w:val="left"/>
      <w:pPr>
        <w:ind w:left="1440" w:hanging="360"/>
      </w:pPr>
      <w:rPr>
        <w:rFonts w:ascii="Courier New" w:hAnsi="Courier New" w:hint="default"/>
      </w:rPr>
    </w:lvl>
    <w:lvl w:ilvl="2" w:tplc="1F3E1794">
      <w:start w:val="1"/>
      <w:numFmt w:val="bullet"/>
      <w:lvlText w:val=""/>
      <w:lvlJc w:val="left"/>
      <w:pPr>
        <w:ind w:left="2160" w:hanging="360"/>
      </w:pPr>
      <w:rPr>
        <w:rFonts w:ascii="Wingdings" w:hAnsi="Wingdings" w:hint="default"/>
      </w:rPr>
    </w:lvl>
    <w:lvl w:ilvl="3" w:tplc="C6C02E1C">
      <w:start w:val="1"/>
      <w:numFmt w:val="bullet"/>
      <w:lvlText w:val=""/>
      <w:lvlJc w:val="left"/>
      <w:pPr>
        <w:ind w:left="2880" w:hanging="360"/>
      </w:pPr>
      <w:rPr>
        <w:rFonts w:ascii="Symbol" w:hAnsi="Symbol" w:hint="default"/>
      </w:rPr>
    </w:lvl>
    <w:lvl w:ilvl="4" w:tplc="78421726">
      <w:start w:val="1"/>
      <w:numFmt w:val="bullet"/>
      <w:lvlText w:val="o"/>
      <w:lvlJc w:val="left"/>
      <w:pPr>
        <w:ind w:left="3600" w:hanging="360"/>
      </w:pPr>
      <w:rPr>
        <w:rFonts w:ascii="Courier New" w:hAnsi="Courier New" w:hint="default"/>
      </w:rPr>
    </w:lvl>
    <w:lvl w:ilvl="5" w:tplc="789EB170">
      <w:start w:val="1"/>
      <w:numFmt w:val="bullet"/>
      <w:lvlText w:val=""/>
      <w:lvlJc w:val="left"/>
      <w:pPr>
        <w:ind w:left="4320" w:hanging="360"/>
      </w:pPr>
      <w:rPr>
        <w:rFonts w:ascii="Wingdings" w:hAnsi="Wingdings" w:hint="default"/>
      </w:rPr>
    </w:lvl>
    <w:lvl w:ilvl="6" w:tplc="B00672CC">
      <w:start w:val="1"/>
      <w:numFmt w:val="bullet"/>
      <w:lvlText w:val=""/>
      <w:lvlJc w:val="left"/>
      <w:pPr>
        <w:ind w:left="5040" w:hanging="360"/>
      </w:pPr>
      <w:rPr>
        <w:rFonts w:ascii="Symbol" w:hAnsi="Symbol" w:hint="default"/>
      </w:rPr>
    </w:lvl>
    <w:lvl w:ilvl="7" w:tplc="64FA4A96">
      <w:start w:val="1"/>
      <w:numFmt w:val="bullet"/>
      <w:lvlText w:val="o"/>
      <w:lvlJc w:val="left"/>
      <w:pPr>
        <w:ind w:left="5760" w:hanging="360"/>
      </w:pPr>
      <w:rPr>
        <w:rFonts w:ascii="Courier New" w:hAnsi="Courier New" w:hint="default"/>
      </w:rPr>
    </w:lvl>
    <w:lvl w:ilvl="8" w:tplc="E42611B4">
      <w:start w:val="1"/>
      <w:numFmt w:val="bullet"/>
      <w:lvlText w:val=""/>
      <w:lvlJc w:val="left"/>
      <w:pPr>
        <w:ind w:left="6480" w:hanging="360"/>
      </w:pPr>
      <w:rPr>
        <w:rFonts w:ascii="Wingdings" w:hAnsi="Wingdings" w:hint="default"/>
      </w:rPr>
    </w:lvl>
  </w:abstractNum>
  <w:abstractNum w:abstractNumId="34" w15:restartNumberingAfterBreak="0">
    <w:nsid w:val="3E5A3450"/>
    <w:multiLevelType w:val="hybridMultilevel"/>
    <w:tmpl w:val="40AEA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EC0CF90"/>
    <w:multiLevelType w:val="hybridMultilevel"/>
    <w:tmpl w:val="C0003B62"/>
    <w:lvl w:ilvl="0" w:tplc="8674A588">
      <w:start w:val="1"/>
      <w:numFmt w:val="bullet"/>
      <w:lvlText w:val=""/>
      <w:lvlJc w:val="left"/>
      <w:pPr>
        <w:ind w:left="720" w:hanging="360"/>
      </w:pPr>
      <w:rPr>
        <w:rFonts w:ascii="Symbol" w:hAnsi="Symbol" w:hint="default"/>
      </w:rPr>
    </w:lvl>
    <w:lvl w:ilvl="1" w:tplc="EE9EA45E">
      <w:start w:val="1"/>
      <w:numFmt w:val="bullet"/>
      <w:lvlText w:val="o"/>
      <w:lvlJc w:val="left"/>
      <w:pPr>
        <w:ind w:left="1440" w:hanging="360"/>
      </w:pPr>
      <w:rPr>
        <w:rFonts w:ascii="Courier New" w:hAnsi="Courier New" w:cs="Times New Roman" w:hint="default"/>
      </w:rPr>
    </w:lvl>
    <w:lvl w:ilvl="2" w:tplc="26D28AC0">
      <w:start w:val="1"/>
      <w:numFmt w:val="bullet"/>
      <w:lvlText w:val=""/>
      <w:lvlJc w:val="left"/>
      <w:pPr>
        <w:ind w:left="2160" w:hanging="360"/>
      </w:pPr>
      <w:rPr>
        <w:rFonts w:ascii="Wingdings" w:hAnsi="Wingdings" w:hint="default"/>
      </w:rPr>
    </w:lvl>
    <w:lvl w:ilvl="3" w:tplc="60E81B98">
      <w:start w:val="1"/>
      <w:numFmt w:val="bullet"/>
      <w:lvlText w:val=""/>
      <w:lvlJc w:val="left"/>
      <w:pPr>
        <w:ind w:left="2880" w:hanging="360"/>
      </w:pPr>
      <w:rPr>
        <w:rFonts w:ascii="Symbol" w:hAnsi="Symbol" w:hint="default"/>
      </w:rPr>
    </w:lvl>
    <w:lvl w:ilvl="4" w:tplc="D9FAE578">
      <w:start w:val="1"/>
      <w:numFmt w:val="bullet"/>
      <w:lvlText w:val="o"/>
      <w:lvlJc w:val="left"/>
      <w:pPr>
        <w:ind w:left="3600" w:hanging="360"/>
      </w:pPr>
      <w:rPr>
        <w:rFonts w:ascii="Courier New" w:hAnsi="Courier New" w:cs="Times New Roman" w:hint="default"/>
      </w:rPr>
    </w:lvl>
    <w:lvl w:ilvl="5" w:tplc="C9009F30">
      <w:start w:val="1"/>
      <w:numFmt w:val="bullet"/>
      <w:lvlText w:val=""/>
      <w:lvlJc w:val="left"/>
      <w:pPr>
        <w:ind w:left="4320" w:hanging="360"/>
      </w:pPr>
      <w:rPr>
        <w:rFonts w:ascii="Wingdings" w:hAnsi="Wingdings" w:hint="default"/>
      </w:rPr>
    </w:lvl>
    <w:lvl w:ilvl="6" w:tplc="73A4EFFC">
      <w:start w:val="1"/>
      <w:numFmt w:val="bullet"/>
      <w:lvlText w:val=""/>
      <w:lvlJc w:val="left"/>
      <w:pPr>
        <w:ind w:left="5040" w:hanging="360"/>
      </w:pPr>
      <w:rPr>
        <w:rFonts w:ascii="Symbol" w:hAnsi="Symbol" w:hint="default"/>
      </w:rPr>
    </w:lvl>
    <w:lvl w:ilvl="7" w:tplc="15F817F2">
      <w:start w:val="1"/>
      <w:numFmt w:val="bullet"/>
      <w:lvlText w:val="o"/>
      <w:lvlJc w:val="left"/>
      <w:pPr>
        <w:ind w:left="5760" w:hanging="360"/>
      </w:pPr>
      <w:rPr>
        <w:rFonts w:ascii="Courier New" w:hAnsi="Courier New" w:cs="Times New Roman" w:hint="default"/>
      </w:rPr>
    </w:lvl>
    <w:lvl w:ilvl="8" w:tplc="2280D36C">
      <w:start w:val="1"/>
      <w:numFmt w:val="bullet"/>
      <w:lvlText w:val=""/>
      <w:lvlJc w:val="left"/>
      <w:pPr>
        <w:ind w:left="6480" w:hanging="360"/>
      </w:pPr>
      <w:rPr>
        <w:rFonts w:ascii="Wingdings" w:hAnsi="Wingdings" w:hint="default"/>
      </w:rPr>
    </w:lvl>
  </w:abstractNum>
  <w:abstractNum w:abstractNumId="36" w15:restartNumberingAfterBreak="0">
    <w:nsid w:val="44844B11"/>
    <w:multiLevelType w:val="hybridMultilevel"/>
    <w:tmpl w:val="FFFFFFFF"/>
    <w:lvl w:ilvl="0" w:tplc="FFFFFFFF">
      <w:start w:val="1"/>
      <w:numFmt w:val="bullet"/>
      <w:lvlText w:val="●"/>
      <w:lvlJc w:val="left"/>
      <w:pPr>
        <w:ind w:left="783" w:hanging="360"/>
      </w:pPr>
      <w:rPr>
        <w:rFonts w:ascii="Noto Sans Symbols" w:hAnsi="Noto Sans Symbols" w:hint="default"/>
      </w:rPr>
    </w:lvl>
    <w:lvl w:ilvl="1" w:tplc="59F8D6A4">
      <w:start w:val="1"/>
      <w:numFmt w:val="bullet"/>
      <w:lvlText w:val="o"/>
      <w:lvlJc w:val="left"/>
      <w:pPr>
        <w:ind w:left="1503" w:hanging="360"/>
      </w:pPr>
      <w:rPr>
        <w:rFonts w:ascii="Courier New" w:hAnsi="Courier New" w:hint="default"/>
      </w:rPr>
    </w:lvl>
    <w:lvl w:ilvl="2" w:tplc="F96C6F68">
      <w:start w:val="1"/>
      <w:numFmt w:val="bullet"/>
      <w:lvlText w:val="▪"/>
      <w:lvlJc w:val="left"/>
      <w:pPr>
        <w:ind w:left="2223" w:hanging="360"/>
      </w:pPr>
      <w:rPr>
        <w:rFonts w:ascii="Noto Sans Symbols" w:hAnsi="Noto Sans Symbols" w:hint="default"/>
      </w:rPr>
    </w:lvl>
    <w:lvl w:ilvl="3" w:tplc="44C6BFC4">
      <w:start w:val="1"/>
      <w:numFmt w:val="bullet"/>
      <w:lvlText w:val="●"/>
      <w:lvlJc w:val="left"/>
      <w:pPr>
        <w:ind w:left="2943" w:hanging="360"/>
      </w:pPr>
      <w:rPr>
        <w:rFonts w:ascii="Noto Sans Symbols" w:hAnsi="Noto Sans Symbols" w:hint="default"/>
      </w:rPr>
    </w:lvl>
    <w:lvl w:ilvl="4" w:tplc="72CA42BA">
      <w:start w:val="1"/>
      <w:numFmt w:val="bullet"/>
      <w:lvlText w:val="o"/>
      <w:lvlJc w:val="left"/>
      <w:pPr>
        <w:ind w:left="3663" w:hanging="360"/>
      </w:pPr>
      <w:rPr>
        <w:rFonts w:ascii="Courier New" w:hAnsi="Courier New" w:hint="default"/>
      </w:rPr>
    </w:lvl>
    <w:lvl w:ilvl="5" w:tplc="64E08082">
      <w:start w:val="1"/>
      <w:numFmt w:val="bullet"/>
      <w:lvlText w:val="▪"/>
      <w:lvlJc w:val="left"/>
      <w:pPr>
        <w:ind w:left="4383" w:hanging="360"/>
      </w:pPr>
      <w:rPr>
        <w:rFonts w:ascii="Noto Sans Symbols" w:hAnsi="Noto Sans Symbols" w:hint="default"/>
      </w:rPr>
    </w:lvl>
    <w:lvl w:ilvl="6" w:tplc="88689084">
      <w:start w:val="1"/>
      <w:numFmt w:val="bullet"/>
      <w:lvlText w:val="●"/>
      <w:lvlJc w:val="left"/>
      <w:pPr>
        <w:ind w:left="5103" w:hanging="360"/>
      </w:pPr>
      <w:rPr>
        <w:rFonts w:ascii="Noto Sans Symbols" w:hAnsi="Noto Sans Symbols" w:hint="default"/>
      </w:rPr>
    </w:lvl>
    <w:lvl w:ilvl="7" w:tplc="8E20DE4E">
      <w:start w:val="1"/>
      <w:numFmt w:val="bullet"/>
      <w:lvlText w:val="o"/>
      <w:lvlJc w:val="left"/>
      <w:pPr>
        <w:ind w:left="5823" w:hanging="360"/>
      </w:pPr>
      <w:rPr>
        <w:rFonts w:ascii="Courier New" w:hAnsi="Courier New" w:hint="default"/>
      </w:rPr>
    </w:lvl>
    <w:lvl w:ilvl="8" w:tplc="E3B2D70E">
      <w:start w:val="1"/>
      <w:numFmt w:val="bullet"/>
      <w:lvlText w:val="▪"/>
      <w:lvlJc w:val="left"/>
      <w:pPr>
        <w:ind w:left="6543" w:hanging="360"/>
      </w:pPr>
      <w:rPr>
        <w:rFonts w:ascii="Noto Sans Symbols" w:hAnsi="Noto Sans Symbols" w:hint="default"/>
      </w:rPr>
    </w:lvl>
  </w:abstractNum>
  <w:abstractNum w:abstractNumId="37" w15:restartNumberingAfterBreak="0">
    <w:nsid w:val="45546BB5"/>
    <w:multiLevelType w:val="hybridMultilevel"/>
    <w:tmpl w:val="FEC6780A"/>
    <w:lvl w:ilvl="0" w:tplc="77F097E2">
      <w:start w:val="1"/>
      <w:numFmt w:val="bullet"/>
      <w:lvlText w:val=""/>
      <w:lvlJc w:val="left"/>
      <w:pPr>
        <w:ind w:left="720" w:hanging="360"/>
      </w:pPr>
      <w:rPr>
        <w:rFonts w:ascii="Symbol" w:hAnsi="Symbol" w:hint="default"/>
      </w:rPr>
    </w:lvl>
    <w:lvl w:ilvl="1" w:tplc="2618AF32">
      <w:start w:val="1"/>
      <w:numFmt w:val="bullet"/>
      <w:lvlText w:val="o"/>
      <w:lvlJc w:val="left"/>
      <w:pPr>
        <w:ind w:left="1440" w:hanging="360"/>
      </w:pPr>
      <w:rPr>
        <w:rFonts w:ascii="Courier New" w:hAnsi="Courier New" w:cs="Times New Roman" w:hint="default"/>
      </w:rPr>
    </w:lvl>
    <w:lvl w:ilvl="2" w:tplc="9C22706A">
      <w:start w:val="1"/>
      <w:numFmt w:val="bullet"/>
      <w:lvlText w:val=""/>
      <w:lvlJc w:val="left"/>
      <w:pPr>
        <w:ind w:left="2160" w:hanging="360"/>
      </w:pPr>
      <w:rPr>
        <w:rFonts w:ascii="Wingdings" w:hAnsi="Wingdings" w:hint="default"/>
      </w:rPr>
    </w:lvl>
    <w:lvl w:ilvl="3" w:tplc="1330623E">
      <w:start w:val="1"/>
      <w:numFmt w:val="bullet"/>
      <w:lvlText w:val=""/>
      <w:lvlJc w:val="left"/>
      <w:pPr>
        <w:ind w:left="2880" w:hanging="360"/>
      </w:pPr>
      <w:rPr>
        <w:rFonts w:ascii="Symbol" w:hAnsi="Symbol" w:hint="default"/>
      </w:rPr>
    </w:lvl>
    <w:lvl w:ilvl="4" w:tplc="6C94D456">
      <w:start w:val="1"/>
      <w:numFmt w:val="bullet"/>
      <w:lvlText w:val="o"/>
      <w:lvlJc w:val="left"/>
      <w:pPr>
        <w:ind w:left="3600" w:hanging="360"/>
      </w:pPr>
      <w:rPr>
        <w:rFonts w:ascii="Courier New" w:hAnsi="Courier New" w:cs="Times New Roman" w:hint="default"/>
      </w:rPr>
    </w:lvl>
    <w:lvl w:ilvl="5" w:tplc="A2F2C314">
      <w:start w:val="1"/>
      <w:numFmt w:val="bullet"/>
      <w:lvlText w:val=""/>
      <w:lvlJc w:val="left"/>
      <w:pPr>
        <w:ind w:left="4320" w:hanging="360"/>
      </w:pPr>
      <w:rPr>
        <w:rFonts w:ascii="Wingdings" w:hAnsi="Wingdings" w:hint="default"/>
      </w:rPr>
    </w:lvl>
    <w:lvl w:ilvl="6" w:tplc="888621AA">
      <w:start w:val="1"/>
      <w:numFmt w:val="bullet"/>
      <w:lvlText w:val=""/>
      <w:lvlJc w:val="left"/>
      <w:pPr>
        <w:ind w:left="5040" w:hanging="360"/>
      </w:pPr>
      <w:rPr>
        <w:rFonts w:ascii="Symbol" w:hAnsi="Symbol" w:hint="default"/>
      </w:rPr>
    </w:lvl>
    <w:lvl w:ilvl="7" w:tplc="0150CC7E">
      <w:start w:val="1"/>
      <w:numFmt w:val="bullet"/>
      <w:lvlText w:val="o"/>
      <w:lvlJc w:val="left"/>
      <w:pPr>
        <w:ind w:left="5760" w:hanging="360"/>
      </w:pPr>
      <w:rPr>
        <w:rFonts w:ascii="Courier New" w:hAnsi="Courier New" w:cs="Times New Roman" w:hint="default"/>
      </w:rPr>
    </w:lvl>
    <w:lvl w:ilvl="8" w:tplc="A6AA38EA">
      <w:start w:val="1"/>
      <w:numFmt w:val="bullet"/>
      <w:lvlText w:val=""/>
      <w:lvlJc w:val="left"/>
      <w:pPr>
        <w:ind w:left="6480" w:hanging="360"/>
      </w:pPr>
      <w:rPr>
        <w:rFonts w:ascii="Wingdings" w:hAnsi="Wingdings" w:hint="default"/>
      </w:rPr>
    </w:lvl>
  </w:abstractNum>
  <w:abstractNum w:abstractNumId="38" w15:restartNumberingAfterBreak="0">
    <w:nsid w:val="471B5748"/>
    <w:multiLevelType w:val="hybridMultilevel"/>
    <w:tmpl w:val="1AF0C5D4"/>
    <w:lvl w:ilvl="0" w:tplc="04045CEE">
      <w:start w:val="1"/>
      <w:numFmt w:val="bullet"/>
      <w:lvlText w:val=""/>
      <w:lvlJc w:val="left"/>
      <w:pPr>
        <w:ind w:left="720" w:hanging="360"/>
      </w:pPr>
      <w:rPr>
        <w:rFonts w:ascii="Symbol" w:hAnsi="Symbol" w:hint="default"/>
      </w:rPr>
    </w:lvl>
    <w:lvl w:ilvl="1" w:tplc="780CEEFC">
      <w:start w:val="1"/>
      <w:numFmt w:val="bullet"/>
      <w:lvlText w:val="o"/>
      <w:lvlJc w:val="left"/>
      <w:pPr>
        <w:ind w:left="1440" w:hanging="360"/>
      </w:pPr>
      <w:rPr>
        <w:rFonts w:ascii="Courier New" w:hAnsi="Courier New" w:cs="Times New Roman" w:hint="default"/>
      </w:rPr>
    </w:lvl>
    <w:lvl w:ilvl="2" w:tplc="BF26A398">
      <w:start w:val="1"/>
      <w:numFmt w:val="bullet"/>
      <w:lvlText w:val=""/>
      <w:lvlJc w:val="left"/>
      <w:pPr>
        <w:ind w:left="2160" w:hanging="360"/>
      </w:pPr>
      <w:rPr>
        <w:rFonts w:ascii="Wingdings" w:hAnsi="Wingdings" w:hint="default"/>
      </w:rPr>
    </w:lvl>
    <w:lvl w:ilvl="3" w:tplc="789201E4">
      <w:start w:val="1"/>
      <w:numFmt w:val="bullet"/>
      <w:lvlText w:val=""/>
      <w:lvlJc w:val="left"/>
      <w:pPr>
        <w:ind w:left="2880" w:hanging="360"/>
      </w:pPr>
      <w:rPr>
        <w:rFonts w:ascii="Symbol" w:hAnsi="Symbol" w:hint="default"/>
      </w:rPr>
    </w:lvl>
    <w:lvl w:ilvl="4" w:tplc="EA8455C6">
      <w:start w:val="1"/>
      <w:numFmt w:val="bullet"/>
      <w:lvlText w:val="o"/>
      <w:lvlJc w:val="left"/>
      <w:pPr>
        <w:ind w:left="3600" w:hanging="360"/>
      </w:pPr>
      <w:rPr>
        <w:rFonts w:ascii="Courier New" w:hAnsi="Courier New" w:cs="Times New Roman" w:hint="default"/>
      </w:rPr>
    </w:lvl>
    <w:lvl w:ilvl="5" w:tplc="2716E972">
      <w:start w:val="1"/>
      <w:numFmt w:val="bullet"/>
      <w:lvlText w:val=""/>
      <w:lvlJc w:val="left"/>
      <w:pPr>
        <w:ind w:left="4320" w:hanging="360"/>
      </w:pPr>
      <w:rPr>
        <w:rFonts w:ascii="Wingdings" w:hAnsi="Wingdings" w:hint="default"/>
      </w:rPr>
    </w:lvl>
    <w:lvl w:ilvl="6" w:tplc="71A2EB54">
      <w:start w:val="1"/>
      <w:numFmt w:val="bullet"/>
      <w:lvlText w:val=""/>
      <w:lvlJc w:val="left"/>
      <w:pPr>
        <w:ind w:left="5040" w:hanging="360"/>
      </w:pPr>
      <w:rPr>
        <w:rFonts w:ascii="Symbol" w:hAnsi="Symbol" w:hint="default"/>
      </w:rPr>
    </w:lvl>
    <w:lvl w:ilvl="7" w:tplc="BD38929A">
      <w:start w:val="1"/>
      <w:numFmt w:val="bullet"/>
      <w:lvlText w:val="o"/>
      <w:lvlJc w:val="left"/>
      <w:pPr>
        <w:ind w:left="5760" w:hanging="360"/>
      </w:pPr>
      <w:rPr>
        <w:rFonts w:ascii="Courier New" w:hAnsi="Courier New" w:cs="Times New Roman" w:hint="default"/>
      </w:rPr>
    </w:lvl>
    <w:lvl w:ilvl="8" w:tplc="80C6A118">
      <w:start w:val="1"/>
      <w:numFmt w:val="bullet"/>
      <w:lvlText w:val=""/>
      <w:lvlJc w:val="left"/>
      <w:pPr>
        <w:ind w:left="6480" w:hanging="360"/>
      </w:pPr>
      <w:rPr>
        <w:rFonts w:ascii="Wingdings" w:hAnsi="Wingdings" w:hint="default"/>
      </w:rPr>
    </w:lvl>
  </w:abstractNum>
  <w:abstractNum w:abstractNumId="39" w15:restartNumberingAfterBreak="0">
    <w:nsid w:val="4A13858A"/>
    <w:multiLevelType w:val="hybridMultilevel"/>
    <w:tmpl w:val="5EBA83F8"/>
    <w:lvl w:ilvl="0" w:tplc="51941B34">
      <w:start w:val="1"/>
      <w:numFmt w:val="bullet"/>
      <w:lvlText w:val=""/>
      <w:lvlJc w:val="left"/>
      <w:pPr>
        <w:ind w:left="720" w:hanging="360"/>
      </w:pPr>
      <w:rPr>
        <w:rFonts w:ascii="Symbol" w:hAnsi="Symbol" w:hint="default"/>
      </w:rPr>
    </w:lvl>
    <w:lvl w:ilvl="1" w:tplc="E52455A0">
      <w:start w:val="1"/>
      <w:numFmt w:val="bullet"/>
      <w:lvlText w:val="o"/>
      <w:lvlJc w:val="left"/>
      <w:pPr>
        <w:ind w:left="1440" w:hanging="360"/>
      </w:pPr>
      <w:rPr>
        <w:rFonts w:ascii="Courier New" w:hAnsi="Courier New" w:cs="Times New Roman" w:hint="default"/>
      </w:rPr>
    </w:lvl>
    <w:lvl w:ilvl="2" w:tplc="2E1EA6A6">
      <w:start w:val="1"/>
      <w:numFmt w:val="bullet"/>
      <w:lvlText w:val=""/>
      <w:lvlJc w:val="left"/>
      <w:pPr>
        <w:ind w:left="2160" w:hanging="360"/>
      </w:pPr>
      <w:rPr>
        <w:rFonts w:ascii="Wingdings" w:hAnsi="Wingdings" w:hint="default"/>
      </w:rPr>
    </w:lvl>
    <w:lvl w:ilvl="3" w:tplc="C764B9CA">
      <w:start w:val="1"/>
      <w:numFmt w:val="bullet"/>
      <w:lvlText w:val=""/>
      <w:lvlJc w:val="left"/>
      <w:pPr>
        <w:ind w:left="2880" w:hanging="360"/>
      </w:pPr>
      <w:rPr>
        <w:rFonts w:ascii="Symbol" w:hAnsi="Symbol" w:hint="default"/>
      </w:rPr>
    </w:lvl>
    <w:lvl w:ilvl="4" w:tplc="1B747D9E">
      <w:start w:val="1"/>
      <w:numFmt w:val="bullet"/>
      <w:lvlText w:val="o"/>
      <w:lvlJc w:val="left"/>
      <w:pPr>
        <w:ind w:left="3600" w:hanging="360"/>
      </w:pPr>
      <w:rPr>
        <w:rFonts w:ascii="Courier New" w:hAnsi="Courier New" w:cs="Times New Roman" w:hint="default"/>
      </w:rPr>
    </w:lvl>
    <w:lvl w:ilvl="5" w:tplc="9BA23BBC">
      <w:start w:val="1"/>
      <w:numFmt w:val="bullet"/>
      <w:lvlText w:val=""/>
      <w:lvlJc w:val="left"/>
      <w:pPr>
        <w:ind w:left="4320" w:hanging="360"/>
      </w:pPr>
      <w:rPr>
        <w:rFonts w:ascii="Wingdings" w:hAnsi="Wingdings" w:hint="default"/>
      </w:rPr>
    </w:lvl>
    <w:lvl w:ilvl="6" w:tplc="F71CB114">
      <w:start w:val="1"/>
      <w:numFmt w:val="bullet"/>
      <w:lvlText w:val=""/>
      <w:lvlJc w:val="left"/>
      <w:pPr>
        <w:ind w:left="5040" w:hanging="360"/>
      </w:pPr>
      <w:rPr>
        <w:rFonts w:ascii="Symbol" w:hAnsi="Symbol" w:hint="default"/>
      </w:rPr>
    </w:lvl>
    <w:lvl w:ilvl="7" w:tplc="BF3CE990">
      <w:start w:val="1"/>
      <w:numFmt w:val="bullet"/>
      <w:lvlText w:val="o"/>
      <w:lvlJc w:val="left"/>
      <w:pPr>
        <w:ind w:left="5760" w:hanging="360"/>
      </w:pPr>
      <w:rPr>
        <w:rFonts w:ascii="Courier New" w:hAnsi="Courier New" w:cs="Times New Roman" w:hint="default"/>
      </w:rPr>
    </w:lvl>
    <w:lvl w:ilvl="8" w:tplc="BDF28034">
      <w:start w:val="1"/>
      <w:numFmt w:val="bullet"/>
      <w:lvlText w:val=""/>
      <w:lvlJc w:val="left"/>
      <w:pPr>
        <w:ind w:left="6480" w:hanging="360"/>
      </w:pPr>
      <w:rPr>
        <w:rFonts w:ascii="Wingdings" w:hAnsi="Wingdings" w:hint="default"/>
      </w:rPr>
    </w:lvl>
  </w:abstractNum>
  <w:abstractNum w:abstractNumId="40" w15:restartNumberingAfterBreak="0">
    <w:nsid w:val="4A3C1F68"/>
    <w:multiLevelType w:val="hybridMultilevel"/>
    <w:tmpl w:val="2E1659BC"/>
    <w:lvl w:ilvl="0" w:tplc="FEF823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4C5930AA"/>
    <w:multiLevelType w:val="hybridMultilevel"/>
    <w:tmpl w:val="E032596C"/>
    <w:lvl w:ilvl="0" w:tplc="0409000F">
      <w:start w:val="1"/>
      <w:numFmt w:val="decimal"/>
      <w:lvlText w:val="%1."/>
      <w:lvlJc w:val="left"/>
      <w:pPr>
        <w:ind w:left="770" w:hanging="360"/>
      </w:pPr>
    </w:lvl>
    <w:lvl w:ilvl="1" w:tplc="FFFFFFFF">
      <w:start w:val="1"/>
      <w:numFmt w:val="bullet"/>
      <w:lvlText w:val="o"/>
      <w:lvlJc w:val="left"/>
      <w:pPr>
        <w:ind w:left="1490" w:hanging="360"/>
      </w:pPr>
      <w:rPr>
        <w:rFonts w:ascii="Courier New" w:hAnsi="Courier New" w:cs="Courier New" w:hint="default"/>
      </w:rPr>
    </w:lvl>
    <w:lvl w:ilvl="2" w:tplc="FFFFFFFF">
      <w:start w:val="1"/>
      <w:numFmt w:val="bullet"/>
      <w:lvlText w:val=""/>
      <w:lvlJc w:val="left"/>
      <w:pPr>
        <w:ind w:left="2210" w:hanging="360"/>
      </w:pPr>
      <w:rPr>
        <w:rFonts w:ascii="Wingdings" w:hAnsi="Wingdings" w:hint="default"/>
      </w:rPr>
    </w:lvl>
    <w:lvl w:ilvl="3" w:tplc="FFFFFFFF">
      <w:start w:val="1"/>
      <w:numFmt w:val="bullet"/>
      <w:lvlText w:val=""/>
      <w:lvlJc w:val="left"/>
      <w:pPr>
        <w:ind w:left="2930" w:hanging="360"/>
      </w:pPr>
      <w:rPr>
        <w:rFonts w:ascii="Symbol" w:hAnsi="Symbol" w:hint="default"/>
      </w:rPr>
    </w:lvl>
    <w:lvl w:ilvl="4" w:tplc="FFFFFFFF">
      <w:start w:val="1"/>
      <w:numFmt w:val="bullet"/>
      <w:lvlText w:val="o"/>
      <w:lvlJc w:val="left"/>
      <w:pPr>
        <w:ind w:left="3650" w:hanging="360"/>
      </w:pPr>
      <w:rPr>
        <w:rFonts w:ascii="Courier New" w:hAnsi="Courier New" w:cs="Courier New" w:hint="default"/>
      </w:rPr>
    </w:lvl>
    <w:lvl w:ilvl="5" w:tplc="FFFFFFFF">
      <w:start w:val="1"/>
      <w:numFmt w:val="bullet"/>
      <w:lvlText w:val=""/>
      <w:lvlJc w:val="left"/>
      <w:pPr>
        <w:ind w:left="4370" w:hanging="360"/>
      </w:pPr>
      <w:rPr>
        <w:rFonts w:ascii="Wingdings" w:hAnsi="Wingdings" w:hint="default"/>
      </w:rPr>
    </w:lvl>
    <w:lvl w:ilvl="6" w:tplc="FFFFFFFF">
      <w:start w:val="1"/>
      <w:numFmt w:val="bullet"/>
      <w:lvlText w:val=""/>
      <w:lvlJc w:val="left"/>
      <w:pPr>
        <w:ind w:left="5090" w:hanging="360"/>
      </w:pPr>
      <w:rPr>
        <w:rFonts w:ascii="Symbol" w:hAnsi="Symbol" w:hint="default"/>
      </w:rPr>
    </w:lvl>
    <w:lvl w:ilvl="7" w:tplc="FFFFFFFF">
      <w:start w:val="1"/>
      <w:numFmt w:val="bullet"/>
      <w:lvlText w:val="o"/>
      <w:lvlJc w:val="left"/>
      <w:pPr>
        <w:ind w:left="5810" w:hanging="360"/>
      </w:pPr>
      <w:rPr>
        <w:rFonts w:ascii="Courier New" w:hAnsi="Courier New" w:cs="Courier New" w:hint="default"/>
      </w:rPr>
    </w:lvl>
    <w:lvl w:ilvl="8" w:tplc="FFFFFFFF">
      <w:start w:val="1"/>
      <w:numFmt w:val="bullet"/>
      <w:lvlText w:val=""/>
      <w:lvlJc w:val="left"/>
      <w:pPr>
        <w:ind w:left="6530" w:hanging="360"/>
      </w:pPr>
      <w:rPr>
        <w:rFonts w:ascii="Wingdings" w:hAnsi="Wingdings" w:hint="default"/>
      </w:rPr>
    </w:lvl>
  </w:abstractNum>
  <w:abstractNum w:abstractNumId="42" w15:restartNumberingAfterBreak="0">
    <w:nsid w:val="51BC6781"/>
    <w:multiLevelType w:val="hybridMultilevel"/>
    <w:tmpl w:val="CEA66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1E2E8AA"/>
    <w:multiLevelType w:val="hybridMultilevel"/>
    <w:tmpl w:val="FFFFFFFF"/>
    <w:lvl w:ilvl="0" w:tplc="8C1C8DA4">
      <w:start w:val="1"/>
      <w:numFmt w:val="bullet"/>
      <w:lvlText w:val=""/>
      <w:lvlJc w:val="left"/>
      <w:pPr>
        <w:ind w:left="720" w:hanging="360"/>
      </w:pPr>
      <w:rPr>
        <w:rFonts w:ascii="Symbol" w:hAnsi="Symbol" w:hint="default"/>
      </w:rPr>
    </w:lvl>
    <w:lvl w:ilvl="1" w:tplc="4DB80CF4">
      <w:start w:val="1"/>
      <w:numFmt w:val="bullet"/>
      <w:lvlText w:val="o"/>
      <w:lvlJc w:val="left"/>
      <w:pPr>
        <w:ind w:left="1440" w:hanging="360"/>
      </w:pPr>
      <w:rPr>
        <w:rFonts w:ascii="Courier New" w:hAnsi="Courier New" w:cs="Times New Roman" w:hint="default"/>
      </w:rPr>
    </w:lvl>
    <w:lvl w:ilvl="2" w:tplc="5B8C740C">
      <w:start w:val="1"/>
      <w:numFmt w:val="bullet"/>
      <w:lvlText w:val=""/>
      <w:lvlJc w:val="left"/>
      <w:pPr>
        <w:ind w:left="2160" w:hanging="360"/>
      </w:pPr>
      <w:rPr>
        <w:rFonts w:ascii="Wingdings" w:hAnsi="Wingdings" w:hint="default"/>
      </w:rPr>
    </w:lvl>
    <w:lvl w:ilvl="3" w:tplc="4B382256">
      <w:start w:val="1"/>
      <w:numFmt w:val="bullet"/>
      <w:lvlText w:val=""/>
      <w:lvlJc w:val="left"/>
      <w:pPr>
        <w:ind w:left="2880" w:hanging="360"/>
      </w:pPr>
      <w:rPr>
        <w:rFonts w:ascii="Symbol" w:hAnsi="Symbol" w:hint="default"/>
      </w:rPr>
    </w:lvl>
    <w:lvl w:ilvl="4" w:tplc="A65EEB14">
      <w:start w:val="1"/>
      <w:numFmt w:val="bullet"/>
      <w:lvlText w:val="o"/>
      <w:lvlJc w:val="left"/>
      <w:pPr>
        <w:ind w:left="3600" w:hanging="360"/>
      </w:pPr>
      <w:rPr>
        <w:rFonts w:ascii="Courier New" w:hAnsi="Courier New" w:cs="Times New Roman" w:hint="default"/>
      </w:rPr>
    </w:lvl>
    <w:lvl w:ilvl="5" w:tplc="0CBE3BA4">
      <w:start w:val="1"/>
      <w:numFmt w:val="bullet"/>
      <w:lvlText w:val=""/>
      <w:lvlJc w:val="left"/>
      <w:pPr>
        <w:ind w:left="4320" w:hanging="360"/>
      </w:pPr>
      <w:rPr>
        <w:rFonts w:ascii="Wingdings" w:hAnsi="Wingdings" w:hint="default"/>
      </w:rPr>
    </w:lvl>
    <w:lvl w:ilvl="6" w:tplc="56488C32">
      <w:start w:val="1"/>
      <w:numFmt w:val="bullet"/>
      <w:lvlText w:val=""/>
      <w:lvlJc w:val="left"/>
      <w:pPr>
        <w:ind w:left="5040" w:hanging="360"/>
      </w:pPr>
      <w:rPr>
        <w:rFonts w:ascii="Symbol" w:hAnsi="Symbol" w:hint="default"/>
      </w:rPr>
    </w:lvl>
    <w:lvl w:ilvl="7" w:tplc="EB6C26C2">
      <w:start w:val="1"/>
      <w:numFmt w:val="bullet"/>
      <w:lvlText w:val="o"/>
      <w:lvlJc w:val="left"/>
      <w:pPr>
        <w:ind w:left="5760" w:hanging="360"/>
      </w:pPr>
      <w:rPr>
        <w:rFonts w:ascii="Courier New" w:hAnsi="Courier New" w:cs="Times New Roman" w:hint="default"/>
      </w:rPr>
    </w:lvl>
    <w:lvl w:ilvl="8" w:tplc="323A5660">
      <w:start w:val="1"/>
      <w:numFmt w:val="bullet"/>
      <w:lvlText w:val=""/>
      <w:lvlJc w:val="left"/>
      <w:pPr>
        <w:ind w:left="6480" w:hanging="360"/>
      </w:pPr>
      <w:rPr>
        <w:rFonts w:ascii="Wingdings" w:hAnsi="Wingdings" w:hint="default"/>
      </w:rPr>
    </w:lvl>
  </w:abstractNum>
  <w:abstractNum w:abstractNumId="44" w15:restartNumberingAfterBreak="0">
    <w:nsid w:val="52308637"/>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5" w15:restartNumberingAfterBreak="0">
    <w:nsid w:val="53A401F6"/>
    <w:multiLevelType w:val="hybridMultilevel"/>
    <w:tmpl w:val="2DAA4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4342AD9"/>
    <w:multiLevelType w:val="hybridMultilevel"/>
    <w:tmpl w:val="EAE61D54"/>
    <w:lvl w:ilvl="0" w:tplc="622A5964">
      <w:start w:val="1"/>
      <w:numFmt w:val="bullet"/>
      <w:lvlText w:val=""/>
      <w:lvlJc w:val="left"/>
      <w:pPr>
        <w:ind w:left="720" w:hanging="360"/>
      </w:pPr>
      <w:rPr>
        <w:rFonts w:ascii="Symbol" w:hAnsi="Symbol" w:hint="default"/>
      </w:rPr>
    </w:lvl>
    <w:lvl w:ilvl="1" w:tplc="C26ADFF0">
      <w:start w:val="1"/>
      <w:numFmt w:val="bullet"/>
      <w:lvlText w:val="o"/>
      <w:lvlJc w:val="left"/>
      <w:pPr>
        <w:ind w:left="1440" w:hanging="360"/>
      </w:pPr>
      <w:rPr>
        <w:rFonts w:ascii="Courier New" w:hAnsi="Courier New" w:cs="Times New Roman" w:hint="default"/>
      </w:rPr>
    </w:lvl>
    <w:lvl w:ilvl="2" w:tplc="BEDEEA84">
      <w:start w:val="1"/>
      <w:numFmt w:val="bullet"/>
      <w:lvlText w:val=""/>
      <w:lvlJc w:val="left"/>
      <w:pPr>
        <w:ind w:left="2160" w:hanging="360"/>
      </w:pPr>
      <w:rPr>
        <w:rFonts w:ascii="Wingdings" w:hAnsi="Wingdings" w:hint="default"/>
      </w:rPr>
    </w:lvl>
    <w:lvl w:ilvl="3" w:tplc="8B9ED1A2">
      <w:start w:val="1"/>
      <w:numFmt w:val="bullet"/>
      <w:lvlText w:val=""/>
      <w:lvlJc w:val="left"/>
      <w:pPr>
        <w:ind w:left="2880" w:hanging="360"/>
      </w:pPr>
      <w:rPr>
        <w:rFonts w:ascii="Symbol" w:hAnsi="Symbol" w:hint="default"/>
      </w:rPr>
    </w:lvl>
    <w:lvl w:ilvl="4" w:tplc="BB1E175A">
      <w:start w:val="1"/>
      <w:numFmt w:val="bullet"/>
      <w:lvlText w:val="o"/>
      <w:lvlJc w:val="left"/>
      <w:pPr>
        <w:ind w:left="3600" w:hanging="360"/>
      </w:pPr>
      <w:rPr>
        <w:rFonts w:ascii="Courier New" w:hAnsi="Courier New" w:cs="Times New Roman" w:hint="default"/>
      </w:rPr>
    </w:lvl>
    <w:lvl w:ilvl="5" w:tplc="2318B100">
      <w:start w:val="1"/>
      <w:numFmt w:val="bullet"/>
      <w:lvlText w:val=""/>
      <w:lvlJc w:val="left"/>
      <w:pPr>
        <w:ind w:left="4320" w:hanging="360"/>
      </w:pPr>
      <w:rPr>
        <w:rFonts w:ascii="Wingdings" w:hAnsi="Wingdings" w:hint="default"/>
      </w:rPr>
    </w:lvl>
    <w:lvl w:ilvl="6" w:tplc="CC3A4794">
      <w:start w:val="1"/>
      <w:numFmt w:val="bullet"/>
      <w:lvlText w:val=""/>
      <w:lvlJc w:val="left"/>
      <w:pPr>
        <w:ind w:left="5040" w:hanging="360"/>
      </w:pPr>
      <w:rPr>
        <w:rFonts w:ascii="Symbol" w:hAnsi="Symbol" w:hint="default"/>
      </w:rPr>
    </w:lvl>
    <w:lvl w:ilvl="7" w:tplc="72988F8A">
      <w:start w:val="1"/>
      <w:numFmt w:val="bullet"/>
      <w:lvlText w:val="o"/>
      <w:lvlJc w:val="left"/>
      <w:pPr>
        <w:ind w:left="5760" w:hanging="360"/>
      </w:pPr>
      <w:rPr>
        <w:rFonts w:ascii="Courier New" w:hAnsi="Courier New" w:cs="Times New Roman" w:hint="default"/>
      </w:rPr>
    </w:lvl>
    <w:lvl w:ilvl="8" w:tplc="1E8E9088">
      <w:start w:val="1"/>
      <w:numFmt w:val="bullet"/>
      <w:lvlText w:val=""/>
      <w:lvlJc w:val="left"/>
      <w:pPr>
        <w:ind w:left="6480" w:hanging="360"/>
      </w:pPr>
      <w:rPr>
        <w:rFonts w:ascii="Wingdings" w:hAnsi="Wingdings" w:hint="default"/>
      </w:rPr>
    </w:lvl>
  </w:abstractNum>
  <w:abstractNum w:abstractNumId="47" w15:restartNumberingAfterBreak="0">
    <w:nsid w:val="549A5E74"/>
    <w:multiLevelType w:val="hybridMultilevel"/>
    <w:tmpl w:val="BA6E8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4B2072F"/>
    <w:multiLevelType w:val="hybridMultilevel"/>
    <w:tmpl w:val="743A7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584485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E96E78"/>
    <w:multiLevelType w:val="hybridMultilevel"/>
    <w:tmpl w:val="C62A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782A39C"/>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2" w15:restartNumberingAfterBreak="0">
    <w:nsid w:val="57EFE89F"/>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3" w15:restartNumberingAfterBreak="0">
    <w:nsid w:val="57F33CAD"/>
    <w:multiLevelType w:val="hybridMultilevel"/>
    <w:tmpl w:val="4DA87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93342E2"/>
    <w:multiLevelType w:val="hybridMultilevel"/>
    <w:tmpl w:val="FFFFFFFF"/>
    <w:lvl w:ilvl="0" w:tplc="FCFCF830">
      <w:start w:val="1"/>
      <w:numFmt w:val="bullet"/>
      <w:lvlText w:val=""/>
      <w:lvlJc w:val="left"/>
      <w:pPr>
        <w:ind w:left="720" w:hanging="360"/>
      </w:pPr>
      <w:rPr>
        <w:rFonts w:ascii="Symbol" w:hAnsi="Symbol" w:hint="default"/>
      </w:rPr>
    </w:lvl>
    <w:lvl w:ilvl="1" w:tplc="E4F881FC">
      <w:start w:val="1"/>
      <w:numFmt w:val="bullet"/>
      <w:lvlText w:val="o"/>
      <w:lvlJc w:val="left"/>
      <w:pPr>
        <w:ind w:left="1440" w:hanging="360"/>
      </w:pPr>
      <w:rPr>
        <w:rFonts w:ascii="Courier New" w:hAnsi="Courier New" w:cs="Times New Roman" w:hint="default"/>
      </w:rPr>
    </w:lvl>
    <w:lvl w:ilvl="2" w:tplc="37C4EBD2">
      <w:start w:val="1"/>
      <w:numFmt w:val="bullet"/>
      <w:lvlText w:val=""/>
      <w:lvlJc w:val="left"/>
      <w:pPr>
        <w:ind w:left="2160" w:hanging="360"/>
      </w:pPr>
      <w:rPr>
        <w:rFonts w:ascii="Wingdings" w:hAnsi="Wingdings" w:hint="default"/>
      </w:rPr>
    </w:lvl>
    <w:lvl w:ilvl="3" w:tplc="904AE878">
      <w:start w:val="1"/>
      <w:numFmt w:val="bullet"/>
      <w:lvlText w:val=""/>
      <w:lvlJc w:val="left"/>
      <w:pPr>
        <w:ind w:left="2880" w:hanging="360"/>
      </w:pPr>
      <w:rPr>
        <w:rFonts w:ascii="Symbol" w:hAnsi="Symbol" w:hint="default"/>
      </w:rPr>
    </w:lvl>
    <w:lvl w:ilvl="4" w:tplc="F578A6AA">
      <w:start w:val="1"/>
      <w:numFmt w:val="bullet"/>
      <w:lvlText w:val="o"/>
      <w:lvlJc w:val="left"/>
      <w:pPr>
        <w:ind w:left="3600" w:hanging="360"/>
      </w:pPr>
      <w:rPr>
        <w:rFonts w:ascii="Courier New" w:hAnsi="Courier New" w:cs="Times New Roman" w:hint="default"/>
      </w:rPr>
    </w:lvl>
    <w:lvl w:ilvl="5" w:tplc="459CC0AC">
      <w:start w:val="1"/>
      <w:numFmt w:val="bullet"/>
      <w:lvlText w:val=""/>
      <w:lvlJc w:val="left"/>
      <w:pPr>
        <w:ind w:left="4320" w:hanging="360"/>
      </w:pPr>
      <w:rPr>
        <w:rFonts w:ascii="Wingdings" w:hAnsi="Wingdings" w:hint="default"/>
      </w:rPr>
    </w:lvl>
    <w:lvl w:ilvl="6" w:tplc="0A34B5C2">
      <w:start w:val="1"/>
      <w:numFmt w:val="bullet"/>
      <w:lvlText w:val=""/>
      <w:lvlJc w:val="left"/>
      <w:pPr>
        <w:ind w:left="5040" w:hanging="360"/>
      </w:pPr>
      <w:rPr>
        <w:rFonts w:ascii="Symbol" w:hAnsi="Symbol" w:hint="default"/>
      </w:rPr>
    </w:lvl>
    <w:lvl w:ilvl="7" w:tplc="8A3EDC5E">
      <w:start w:val="1"/>
      <w:numFmt w:val="bullet"/>
      <w:lvlText w:val="o"/>
      <w:lvlJc w:val="left"/>
      <w:pPr>
        <w:ind w:left="5760" w:hanging="360"/>
      </w:pPr>
      <w:rPr>
        <w:rFonts w:ascii="Courier New" w:hAnsi="Courier New" w:cs="Times New Roman" w:hint="default"/>
      </w:rPr>
    </w:lvl>
    <w:lvl w:ilvl="8" w:tplc="7D1046C6">
      <w:start w:val="1"/>
      <w:numFmt w:val="bullet"/>
      <w:lvlText w:val=""/>
      <w:lvlJc w:val="left"/>
      <w:pPr>
        <w:ind w:left="6480" w:hanging="360"/>
      </w:pPr>
      <w:rPr>
        <w:rFonts w:ascii="Wingdings" w:hAnsi="Wingdings" w:hint="default"/>
      </w:rPr>
    </w:lvl>
  </w:abstractNum>
  <w:abstractNum w:abstractNumId="55" w15:restartNumberingAfterBreak="0">
    <w:nsid w:val="5AF1B747"/>
    <w:multiLevelType w:val="hybridMultilevel"/>
    <w:tmpl w:val="FFFFFFFF"/>
    <w:lvl w:ilvl="0" w:tplc="077EEC16">
      <w:start w:val="1"/>
      <w:numFmt w:val="bullet"/>
      <w:lvlText w:val=""/>
      <w:lvlJc w:val="left"/>
      <w:pPr>
        <w:ind w:left="720" w:hanging="360"/>
      </w:pPr>
      <w:rPr>
        <w:rFonts w:ascii="Symbol" w:hAnsi="Symbol" w:hint="default"/>
      </w:rPr>
    </w:lvl>
    <w:lvl w:ilvl="1" w:tplc="CCF42D50">
      <w:start w:val="1"/>
      <w:numFmt w:val="bullet"/>
      <w:lvlText w:val="o"/>
      <w:lvlJc w:val="left"/>
      <w:pPr>
        <w:ind w:left="1440" w:hanging="360"/>
      </w:pPr>
      <w:rPr>
        <w:rFonts w:ascii="Courier New" w:hAnsi="Courier New" w:cs="Times New Roman" w:hint="default"/>
      </w:rPr>
    </w:lvl>
    <w:lvl w:ilvl="2" w:tplc="A9B86D0E">
      <w:start w:val="1"/>
      <w:numFmt w:val="bullet"/>
      <w:lvlText w:val=""/>
      <w:lvlJc w:val="left"/>
      <w:pPr>
        <w:ind w:left="2160" w:hanging="360"/>
      </w:pPr>
      <w:rPr>
        <w:rFonts w:ascii="Wingdings" w:hAnsi="Wingdings" w:hint="default"/>
      </w:rPr>
    </w:lvl>
    <w:lvl w:ilvl="3" w:tplc="2B8870A2">
      <w:start w:val="1"/>
      <w:numFmt w:val="bullet"/>
      <w:lvlText w:val=""/>
      <w:lvlJc w:val="left"/>
      <w:pPr>
        <w:ind w:left="2880" w:hanging="360"/>
      </w:pPr>
      <w:rPr>
        <w:rFonts w:ascii="Symbol" w:hAnsi="Symbol" w:hint="default"/>
      </w:rPr>
    </w:lvl>
    <w:lvl w:ilvl="4" w:tplc="81622712">
      <w:start w:val="1"/>
      <w:numFmt w:val="bullet"/>
      <w:lvlText w:val="o"/>
      <w:lvlJc w:val="left"/>
      <w:pPr>
        <w:ind w:left="3600" w:hanging="360"/>
      </w:pPr>
      <w:rPr>
        <w:rFonts w:ascii="Courier New" w:hAnsi="Courier New" w:cs="Times New Roman" w:hint="default"/>
      </w:rPr>
    </w:lvl>
    <w:lvl w:ilvl="5" w:tplc="6BC24F60">
      <w:start w:val="1"/>
      <w:numFmt w:val="bullet"/>
      <w:lvlText w:val=""/>
      <w:lvlJc w:val="left"/>
      <w:pPr>
        <w:ind w:left="4320" w:hanging="360"/>
      </w:pPr>
      <w:rPr>
        <w:rFonts w:ascii="Wingdings" w:hAnsi="Wingdings" w:hint="default"/>
      </w:rPr>
    </w:lvl>
    <w:lvl w:ilvl="6" w:tplc="79589DF8">
      <w:start w:val="1"/>
      <w:numFmt w:val="bullet"/>
      <w:lvlText w:val=""/>
      <w:lvlJc w:val="left"/>
      <w:pPr>
        <w:ind w:left="5040" w:hanging="360"/>
      </w:pPr>
      <w:rPr>
        <w:rFonts w:ascii="Symbol" w:hAnsi="Symbol" w:hint="default"/>
      </w:rPr>
    </w:lvl>
    <w:lvl w:ilvl="7" w:tplc="D2E8CD76">
      <w:start w:val="1"/>
      <w:numFmt w:val="bullet"/>
      <w:lvlText w:val="o"/>
      <w:lvlJc w:val="left"/>
      <w:pPr>
        <w:ind w:left="5760" w:hanging="360"/>
      </w:pPr>
      <w:rPr>
        <w:rFonts w:ascii="Courier New" w:hAnsi="Courier New" w:cs="Times New Roman" w:hint="default"/>
      </w:rPr>
    </w:lvl>
    <w:lvl w:ilvl="8" w:tplc="A7BA3E78">
      <w:start w:val="1"/>
      <w:numFmt w:val="bullet"/>
      <w:lvlText w:val=""/>
      <w:lvlJc w:val="left"/>
      <w:pPr>
        <w:ind w:left="6480" w:hanging="360"/>
      </w:pPr>
      <w:rPr>
        <w:rFonts w:ascii="Wingdings" w:hAnsi="Wingdings" w:hint="default"/>
      </w:rPr>
    </w:lvl>
  </w:abstractNum>
  <w:abstractNum w:abstractNumId="56" w15:restartNumberingAfterBreak="0">
    <w:nsid w:val="5C974A01"/>
    <w:multiLevelType w:val="hybridMultilevel"/>
    <w:tmpl w:val="7BB67E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26329C5"/>
    <w:multiLevelType w:val="hybridMultilevel"/>
    <w:tmpl w:val="372871E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58" w15:restartNumberingAfterBreak="0">
    <w:nsid w:val="63C6FBA2"/>
    <w:multiLevelType w:val="hybridMultilevel"/>
    <w:tmpl w:val="32EC194E"/>
    <w:lvl w:ilvl="0" w:tplc="31EEEB9A">
      <w:start w:val="1"/>
      <w:numFmt w:val="bullet"/>
      <w:lvlText w:val=""/>
      <w:lvlJc w:val="left"/>
      <w:pPr>
        <w:ind w:left="720" w:hanging="360"/>
      </w:pPr>
      <w:rPr>
        <w:rFonts w:ascii="Symbol" w:hAnsi="Symbol" w:hint="default"/>
      </w:rPr>
    </w:lvl>
    <w:lvl w:ilvl="1" w:tplc="3ACCF38C">
      <w:start w:val="1"/>
      <w:numFmt w:val="bullet"/>
      <w:lvlText w:val="o"/>
      <w:lvlJc w:val="left"/>
      <w:pPr>
        <w:ind w:left="1440" w:hanging="360"/>
      </w:pPr>
      <w:rPr>
        <w:rFonts w:ascii="Courier New" w:hAnsi="Courier New" w:cs="Times New Roman" w:hint="default"/>
      </w:rPr>
    </w:lvl>
    <w:lvl w:ilvl="2" w:tplc="CE3A0B60">
      <w:start w:val="1"/>
      <w:numFmt w:val="bullet"/>
      <w:lvlText w:val=""/>
      <w:lvlJc w:val="left"/>
      <w:pPr>
        <w:ind w:left="2160" w:hanging="360"/>
      </w:pPr>
      <w:rPr>
        <w:rFonts w:ascii="Wingdings" w:hAnsi="Wingdings" w:hint="default"/>
      </w:rPr>
    </w:lvl>
    <w:lvl w:ilvl="3" w:tplc="D472C59C">
      <w:start w:val="1"/>
      <w:numFmt w:val="bullet"/>
      <w:lvlText w:val=""/>
      <w:lvlJc w:val="left"/>
      <w:pPr>
        <w:ind w:left="2880" w:hanging="360"/>
      </w:pPr>
      <w:rPr>
        <w:rFonts w:ascii="Symbol" w:hAnsi="Symbol" w:hint="default"/>
      </w:rPr>
    </w:lvl>
    <w:lvl w:ilvl="4" w:tplc="6B16BD68">
      <w:start w:val="1"/>
      <w:numFmt w:val="bullet"/>
      <w:lvlText w:val="o"/>
      <w:lvlJc w:val="left"/>
      <w:pPr>
        <w:ind w:left="3600" w:hanging="360"/>
      </w:pPr>
      <w:rPr>
        <w:rFonts w:ascii="Courier New" w:hAnsi="Courier New" w:cs="Times New Roman" w:hint="default"/>
      </w:rPr>
    </w:lvl>
    <w:lvl w:ilvl="5" w:tplc="D3AAACC6">
      <w:start w:val="1"/>
      <w:numFmt w:val="bullet"/>
      <w:lvlText w:val=""/>
      <w:lvlJc w:val="left"/>
      <w:pPr>
        <w:ind w:left="4320" w:hanging="360"/>
      </w:pPr>
      <w:rPr>
        <w:rFonts w:ascii="Wingdings" w:hAnsi="Wingdings" w:hint="default"/>
      </w:rPr>
    </w:lvl>
    <w:lvl w:ilvl="6" w:tplc="D3666F32">
      <w:start w:val="1"/>
      <w:numFmt w:val="bullet"/>
      <w:lvlText w:val=""/>
      <w:lvlJc w:val="left"/>
      <w:pPr>
        <w:ind w:left="5040" w:hanging="360"/>
      </w:pPr>
      <w:rPr>
        <w:rFonts w:ascii="Symbol" w:hAnsi="Symbol" w:hint="default"/>
      </w:rPr>
    </w:lvl>
    <w:lvl w:ilvl="7" w:tplc="3E48B010">
      <w:start w:val="1"/>
      <w:numFmt w:val="bullet"/>
      <w:lvlText w:val="o"/>
      <w:lvlJc w:val="left"/>
      <w:pPr>
        <w:ind w:left="5760" w:hanging="360"/>
      </w:pPr>
      <w:rPr>
        <w:rFonts w:ascii="Courier New" w:hAnsi="Courier New" w:cs="Times New Roman" w:hint="default"/>
      </w:rPr>
    </w:lvl>
    <w:lvl w:ilvl="8" w:tplc="F294D44C">
      <w:start w:val="1"/>
      <w:numFmt w:val="bullet"/>
      <w:lvlText w:val=""/>
      <w:lvlJc w:val="left"/>
      <w:pPr>
        <w:ind w:left="6480" w:hanging="360"/>
      </w:pPr>
      <w:rPr>
        <w:rFonts w:ascii="Wingdings" w:hAnsi="Wingdings" w:hint="default"/>
      </w:rPr>
    </w:lvl>
  </w:abstractNum>
  <w:abstractNum w:abstractNumId="59" w15:restartNumberingAfterBreak="0">
    <w:nsid w:val="64699C94"/>
    <w:multiLevelType w:val="hybridMultilevel"/>
    <w:tmpl w:val="FFFFFFFF"/>
    <w:lvl w:ilvl="0" w:tplc="53066A36">
      <w:start w:val="1"/>
      <w:numFmt w:val="decimal"/>
      <w:lvlText w:val="%1."/>
      <w:lvlJc w:val="left"/>
      <w:pPr>
        <w:ind w:left="720" w:hanging="360"/>
      </w:pPr>
      <w:rPr>
        <w:rFonts w:cs="Times New Roman"/>
      </w:rPr>
    </w:lvl>
    <w:lvl w:ilvl="1" w:tplc="F8E61FEE">
      <w:start w:val="1"/>
      <w:numFmt w:val="lowerLetter"/>
      <w:lvlText w:val="%2."/>
      <w:lvlJc w:val="left"/>
      <w:pPr>
        <w:ind w:left="1440" w:hanging="360"/>
      </w:pPr>
      <w:rPr>
        <w:rFonts w:cs="Times New Roman"/>
      </w:rPr>
    </w:lvl>
    <w:lvl w:ilvl="2" w:tplc="78C6AF5A">
      <w:start w:val="1"/>
      <w:numFmt w:val="lowerRoman"/>
      <w:lvlText w:val="%3."/>
      <w:lvlJc w:val="right"/>
      <w:pPr>
        <w:ind w:left="2160" w:hanging="180"/>
      </w:pPr>
      <w:rPr>
        <w:rFonts w:cs="Times New Roman"/>
      </w:rPr>
    </w:lvl>
    <w:lvl w:ilvl="3" w:tplc="912A5E42">
      <w:start w:val="1"/>
      <w:numFmt w:val="decimal"/>
      <w:lvlText w:val="%4."/>
      <w:lvlJc w:val="left"/>
      <w:pPr>
        <w:ind w:left="2880" w:hanging="360"/>
      </w:pPr>
      <w:rPr>
        <w:rFonts w:cs="Times New Roman"/>
      </w:rPr>
    </w:lvl>
    <w:lvl w:ilvl="4" w:tplc="6EC28096">
      <w:start w:val="1"/>
      <w:numFmt w:val="lowerLetter"/>
      <w:lvlText w:val="%5."/>
      <w:lvlJc w:val="left"/>
      <w:pPr>
        <w:ind w:left="3600" w:hanging="360"/>
      </w:pPr>
      <w:rPr>
        <w:rFonts w:cs="Times New Roman"/>
      </w:rPr>
    </w:lvl>
    <w:lvl w:ilvl="5" w:tplc="6E6A7AFC">
      <w:start w:val="1"/>
      <w:numFmt w:val="lowerRoman"/>
      <w:lvlText w:val="%6."/>
      <w:lvlJc w:val="right"/>
      <w:pPr>
        <w:ind w:left="4320" w:hanging="180"/>
      </w:pPr>
      <w:rPr>
        <w:rFonts w:cs="Times New Roman"/>
      </w:rPr>
    </w:lvl>
    <w:lvl w:ilvl="6" w:tplc="7B82CC0A">
      <w:start w:val="1"/>
      <w:numFmt w:val="decimal"/>
      <w:lvlText w:val="%7."/>
      <w:lvlJc w:val="left"/>
      <w:pPr>
        <w:ind w:left="5040" w:hanging="360"/>
      </w:pPr>
      <w:rPr>
        <w:rFonts w:cs="Times New Roman"/>
      </w:rPr>
    </w:lvl>
    <w:lvl w:ilvl="7" w:tplc="5768AE7C">
      <w:start w:val="1"/>
      <w:numFmt w:val="lowerLetter"/>
      <w:lvlText w:val="%8."/>
      <w:lvlJc w:val="left"/>
      <w:pPr>
        <w:ind w:left="5760" w:hanging="360"/>
      </w:pPr>
      <w:rPr>
        <w:rFonts w:cs="Times New Roman"/>
      </w:rPr>
    </w:lvl>
    <w:lvl w:ilvl="8" w:tplc="4BBCCC94">
      <w:start w:val="1"/>
      <w:numFmt w:val="lowerRoman"/>
      <w:lvlText w:val="%9."/>
      <w:lvlJc w:val="right"/>
      <w:pPr>
        <w:ind w:left="6480" w:hanging="180"/>
      </w:pPr>
      <w:rPr>
        <w:rFonts w:cs="Times New Roman"/>
      </w:rPr>
    </w:lvl>
  </w:abstractNum>
  <w:abstractNum w:abstractNumId="60" w15:restartNumberingAfterBreak="0">
    <w:nsid w:val="651357C5"/>
    <w:multiLevelType w:val="hybridMultilevel"/>
    <w:tmpl w:val="C02E411E"/>
    <w:lvl w:ilvl="0" w:tplc="FEF823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701A696"/>
    <w:multiLevelType w:val="hybridMultilevel"/>
    <w:tmpl w:val="FFFFFFFF"/>
    <w:lvl w:ilvl="0" w:tplc="8534C5B2">
      <w:start w:val="1"/>
      <w:numFmt w:val="bullet"/>
      <w:lvlText w:val=""/>
      <w:lvlJc w:val="left"/>
      <w:pPr>
        <w:ind w:left="720" w:hanging="360"/>
      </w:pPr>
      <w:rPr>
        <w:rFonts w:ascii="Symbol" w:hAnsi="Symbol" w:hint="default"/>
      </w:rPr>
    </w:lvl>
    <w:lvl w:ilvl="1" w:tplc="B5A2A89E">
      <w:start w:val="1"/>
      <w:numFmt w:val="bullet"/>
      <w:lvlText w:val="o"/>
      <w:lvlJc w:val="left"/>
      <w:pPr>
        <w:ind w:left="1440" w:hanging="360"/>
      </w:pPr>
      <w:rPr>
        <w:rFonts w:ascii="Courier New" w:hAnsi="Courier New" w:cs="Times New Roman" w:hint="default"/>
      </w:rPr>
    </w:lvl>
    <w:lvl w:ilvl="2" w:tplc="493CDE80">
      <w:start w:val="1"/>
      <w:numFmt w:val="bullet"/>
      <w:lvlText w:val=""/>
      <w:lvlJc w:val="left"/>
      <w:pPr>
        <w:ind w:left="2160" w:hanging="360"/>
      </w:pPr>
      <w:rPr>
        <w:rFonts w:ascii="Wingdings" w:hAnsi="Wingdings" w:hint="default"/>
      </w:rPr>
    </w:lvl>
    <w:lvl w:ilvl="3" w:tplc="4FA843B2">
      <w:start w:val="1"/>
      <w:numFmt w:val="bullet"/>
      <w:lvlText w:val=""/>
      <w:lvlJc w:val="left"/>
      <w:pPr>
        <w:ind w:left="2880" w:hanging="360"/>
      </w:pPr>
      <w:rPr>
        <w:rFonts w:ascii="Symbol" w:hAnsi="Symbol" w:hint="default"/>
      </w:rPr>
    </w:lvl>
    <w:lvl w:ilvl="4" w:tplc="7E108DC6">
      <w:start w:val="1"/>
      <w:numFmt w:val="bullet"/>
      <w:lvlText w:val="o"/>
      <w:lvlJc w:val="left"/>
      <w:pPr>
        <w:ind w:left="3600" w:hanging="360"/>
      </w:pPr>
      <w:rPr>
        <w:rFonts w:ascii="Courier New" w:hAnsi="Courier New" w:cs="Times New Roman" w:hint="default"/>
      </w:rPr>
    </w:lvl>
    <w:lvl w:ilvl="5" w:tplc="6F6C1672">
      <w:start w:val="1"/>
      <w:numFmt w:val="bullet"/>
      <w:lvlText w:val=""/>
      <w:lvlJc w:val="left"/>
      <w:pPr>
        <w:ind w:left="4320" w:hanging="360"/>
      </w:pPr>
      <w:rPr>
        <w:rFonts w:ascii="Wingdings" w:hAnsi="Wingdings" w:hint="default"/>
      </w:rPr>
    </w:lvl>
    <w:lvl w:ilvl="6" w:tplc="56823A94">
      <w:start w:val="1"/>
      <w:numFmt w:val="bullet"/>
      <w:lvlText w:val=""/>
      <w:lvlJc w:val="left"/>
      <w:pPr>
        <w:ind w:left="5040" w:hanging="360"/>
      </w:pPr>
      <w:rPr>
        <w:rFonts w:ascii="Symbol" w:hAnsi="Symbol" w:hint="default"/>
      </w:rPr>
    </w:lvl>
    <w:lvl w:ilvl="7" w:tplc="D30E67B2">
      <w:start w:val="1"/>
      <w:numFmt w:val="bullet"/>
      <w:lvlText w:val="o"/>
      <w:lvlJc w:val="left"/>
      <w:pPr>
        <w:ind w:left="5760" w:hanging="360"/>
      </w:pPr>
      <w:rPr>
        <w:rFonts w:ascii="Courier New" w:hAnsi="Courier New" w:cs="Times New Roman" w:hint="default"/>
      </w:rPr>
    </w:lvl>
    <w:lvl w:ilvl="8" w:tplc="883E26E0">
      <w:start w:val="1"/>
      <w:numFmt w:val="bullet"/>
      <w:lvlText w:val=""/>
      <w:lvlJc w:val="left"/>
      <w:pPr>
        <w:ind w:left="6480" w:hanging="360"/>
      </w:pPr>
      <w:rPr>
        <w:rFonts w:ascii="Wingdings" w:hAnsi="Wingdings" w:hint="default"/>
      </w:rPr>
    </w:lvl>
  </w:abstractNum>
  <w:abstractNum w:abstractNumId="62" w15:restartNumberingAfterBreak="0">
    <w:nsid w:val="6BE8FC2E"/>
    <w:multiLevelType w:val="hybridMultilevel"/>
    <w:tmpl w:val="B5421B4E"/>
    <w:lvl w:ilvl="0" w:tplc="D6BC901C">
      <w:start w:val="1"/>
      <w:numFmt w:val="bullet"/>
      <w:lvlText w:val=""/>
      <w:lvlJc w:val="left"/>
      <w:pPr>
        <w:ind w:left="720" w:hanging="360"/>
      </w:pPr>
      <w:rPr>
        <w:rFonts w:ascii="Symbol" w:hAnsi="Symbol" w:hint="default"/>
      </w:rPr>
    </w:lvl>
    <w:lvl w:ilvl="1" w:tplc="2DDCBD8E">
      <w:start w:val="1"/>
      <w:numFmt w:val="bullet"/>
      <w:lvlText w:val="o"/>
      <w:lvlJc w:val="left"/>
      <w:pPr>
        <w:ind w:left="1440" w:hanging="360"/>
      </w:pPr>
      <w:rPr>
        <w:rFonts w:ascii="Courier New" w:hAnsi="Courier New" w:cs="Times New Roman" w:hint="default"/>
      </w:rPr>
    </w:lvl>
    <w:lvl w:ilvl="2" w:tplc="A79C9940">
      <w:start w:val="1"/>
      <w:numFmt w:val="bullet"/>
      <w:lvlText w:val=""/>
      <w:lvlJc w:val="left"/>
      <w:pPr>
        <w:ind w:left="2160" w:hanging="360"/>
      </w:pPr>
      <w:rPr>
        <w:rFonts w:ascii="Wingdings" w:hAnsi="Wingdings" w:hint="default"/>
      </w:rPr>
    </w:lvl>
    <w:lvl w:ilvl="3" w:tplc="C3CCF1C4">
      <w:start w:val="1"/>
      <w:numFmt w:val="bullet"/>
      <w:lvlText w:val=""/>
      <w:lvlJc w:val="left"/>
      <w:pPr>
        <w:ind w:left="2880" w:hanging="360"/>
      </w:pPr>
      <w:rPr>
        <w:rFonts w:ascii="Symbol" w:hAnsi="Symbol" w:hint="default"/>
      </w:rPr>
    </w:lvl>
    <w:lvl w:ilvl="4" w:tplc="7BC261AC">
      <w:start w:val="1"/>
      <w:numFmt w:val="bullet"/>
      <w:lvlText w:val="o"/>
      <w:lvlJc w:val="left"/>
      <w:pPr>
        <w:ind w:left="3600" w:hanging="360"/>
      </w:pPr>
      <w:rPr>
        <w:rFonts w:ascii="Courier New" w:hAnsi="Courier New" w:cs="Times New Roman" w:hint="default"/>
      </w:rPr>
    </w:lvl>
    <w:lvl w:ilvl="5" w:tplc="8C725FB4">
      <w:start w:val="1"/>
      <w:numFmt w:val="bullet"/>
      <w:lvlText w:val=""/>
      <w:lvlJc w:val="left"/>
      <w:pPr>
        <w:ind w:left="4320" w:hanging="360"/>
      </w:pPr>
      <w:rPr>
        <w:rFonts w:ascii="Wingdings" w:hAnsi="Wingdings" w:hint="default"/>
      </w:rPr>
    </w:lvl>
    <w:lvl w:ilvl="6" w:tplc="0464B2DE">
      <w:start w:val="1"/>
      <w:numFmt w:val="bullet"/>
      <w:lvlText w:val=""/>
      <w:lvlJc w:val="left"/>
      <w:pPr>
        <w:ind w:left="5040" w:hanging="360"/>
      </w:pPr>
      <w:rPr>
        <w:rFonts w:ascii="Symbol" w:hAnsi="Symbol" w:hint="default"/>
      </w:rPr>
    </w:lvl>
    <w:lvl w:ilvl="7" w:tplc="7910FEBC">
      <w:start w:val="1"/>
      <w:numFmt w:val="bullet"/>
      <w:lvlText w:val="o"/>
      <w:lvlJc w:val="left"/>
      <w:pPr>
        <w:ind w:left="5760" w:hanging="360"/>
      </w:pPr>
      <w:rPr>
        <w:rFonts w:ascii="Courier New" w:hAnsi="Courier New" w:cs="Times New Roman" w:hint="default"/>
      </w:rPr>
    </w:lvl>
    <w:lvl w:ilvl="8" w:tplc="15025BB6">
      <w:start w:val="1"/>
      <w:numFmt w:val="bullet"/>
      <w:lvlText w:val=""/>
      <w:lvlJc w:val="left"/>
      <w:pPr>
        <w:ind w:left="6480" w:hanging="360"/>
      </w:pPr>
      <w:rPr>
        <w:rFonts w:ascii="Wingdings" w:hAnsi="Wingdings" w:hint="default"/>
      </w:rPr>
    </w:lvl>
  </w:abstractNum>
  <w:abstractNum w:abstractNumId="63" w15:restartNumberingAfterBreak="0">
    <w:nsid w:val="6DEFEC85"/>
    <w:multiLevelType w:val="hybridMultilevel"/>
    <w:tmpl w:val="76725034"/>
    <w:lvl w:ilvl="0" w:tplc="32C296F8">
      <w:start w:val="1"/>
      <w:numFmt w:val="bullet"/>
      <w:lvlText w:val=""/>
      <w:lvlJc w:val="left"/>
      <w:pPr>
        <w:ind w:left="720" w:hanging="360"/>
      </w:pPr>
      <w:rPr>
        <w:rFonts w:ascii="Symbol" w:hAnsi="Symbol" w:hint="default"/>
      </w:rPr>
    </w:lvl>
    <w:lvl w:ilvl="1" w:tplc="4AEE0DCA">
      <w:start w:val="1"/>
      <w:numFmt w:val="bullet"/>
      <w:lvlText w:val="o"/>
      <w:lvlJc w:val="left"/>
      <w:pPr>
        <w:ind w:left="1440" w:hanging="360"/>
      </w:pPr>
      <w:rPr>
        <w:rFonts w:ascii="Courier New" w:hAnsi="Courier New" w:cs="Times New Roman" w:hint="default"/>
      </w:rPr>
    </w:lvl>
    <w:lvl w:ilvl="2" w:tplc="65CA844E">
      <w:start w:val="1"/>
      <w:numFmt w:val="bullet"/>
      <w:lvlText w:val=""/>
      <w:lvlJc w:val="left"/>
      <w:pPr>
        <w:ind w:left="2160" w:hanging="360"/>
      </w:pPr>
      <w:rPr>
        <w:rFonts w:ascii="Wingdings" w:hAnsi="Wingdings" w:hint="default"/>
      </w:rPr>
    </w:lvl>
    <w:lvl w:ilvl="3" w:tplc="146CC7A4">
      <w:start w:val="1"/>
      <w:numFmt w:val="bullet"/>
      <w:lvlText w:val=""/>
      <w:lvlJc w:val="left"/>
      <w:pPr>
        <w:ind w:left="2880" w:hanging="360"/>
      </w:pPr>
      <w:rPr>
        <w:rFonts w:ascii="Symbol" w:hAnsi="Symbol" w:hint="default"/>
      </w:rPr>
    </w:lvl>
    <w:lvl w:ilvl="4" w:tplc="722EDB02">
      <w:start w:val="1"/>
      <w:numFmt w:val="bullet"/>
      <w:lvlText w:val="o"/>
      <w:lvlJc w:val="left"/>
      <w:pPr>
        <w:ind w:left="3600" w:hanging="360"/>
      </w:pPr>
      <w:rPr>
        <w:rFonts w:ascii="Courier New" w:hAnsi="Courier New" w:cs="Times New Roman" w:hint="default"/>
      </w:rPr>
    </w:lvl>
    <w:lvl w:ilvl="5" w:tplc="7862C2B4">
      <w:start w:val="1"/>
      <w:numFmt w:val="bullet"/>
      <w:lvlText w:val=""/>
      <w:lvlJc w:val="left"/>
      <w:pPr>
        <w:ind w:left="4320" w:hanging="360"/>
      </w:pPr>
      <w:rPr>
        <w:rFonts w:ascii="Wingdings" w:hAnsi="Wingdings" w:hint="default"/>
      </w:rPr>
    </w:lvl>
    <w:lvl w:ilvl="6" w:tplc="F9B42FF2">
      <w:start w:val="1"/>
      <w:numFmt w:val="bullet"/>
      <w:lvlText w:val=""/>
      <w:lvlJc w:val="left"/>
      <w:pPr>
        <w:ind w:left="5040" w:hanging="360"/>
      </w:pPr>
      <w:rPr>
        <w:rFonts w:ascii="Symbol" w:hAnsi="Symbol" w:hint="default"/>
      </w:rPr>
    </w:lvl>
    <w:lvl w:ilvl="7" w:tplc="A48E5060">
      <w:start w:val="1"/>
      <w:numFmt w:val="bullet"/>
      <w:lvlText w:val="o"/>
      <w:lvlJc w:val="left"/>
      <w:pPr>
        <w:ind w:left="5760" w:hanging="360"/>
      </w:pPr>
      <w:rPr>
        <w:rFonts w:ascii="Courier New" w:hAnsi="Courier New" w:cs="Times New Roman" w:hint="default"/>
      </w:rPr>
    </w:lvl>
    <w:lvl w:ilvl="8" w:tplc="F7E481AA">
      <w:start w:val="1"/>
      <w:numFmt w:val="bullet"/>
      <w:lvlText w:val=""/>
      <w:lvlJc w:val="left"/>
      <w:pPr>
        <w:ind w:left="6480" w:hanging="360"/>
      </w:pPr>
      <w:rPr>
        <w:rFonts w:ascii="Wingdings" w:hAnsi="Wingdings" w:hint="default"/>
      </w:rPr>
    </w:lvl>
  </w:abstractNum>
  <w:abstractNum w:abstractNumId="64" w15:restartNumberingAfterBreak="0">
    <w:nsid w:val="6E463AF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FA02C75"/>
    <w:multiLevelType w:val="multilevel"/>
    <w:tmpl w:val="EBCA2A2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0CB6FD1"/>
    <w:multiLevelType w:val="hybridMultilevel"/>
    <w:tmpl w:val="FFFFFFFF"/>
    <w:lvl w:ilvl="0" w:tplc="FFFFFFFF">
      <w:start w:val="1"/>
      <w:numFmt w:val="bullet"/>
      <w:lvlText w:val=""/>
      <w:lvlJc w:val="left"/>
      <w:pPr>
        <w:ind w:left="720" w:hanging="360"/>
      </w:pPr>
      <w:rPr>
        <w:rFonts w:ascii="Symbol" w:hAnsi="Symbol" w:hint="default"/>
      </w:rPr>
    </w:lvl>
    <w:lvl w:ilvl="1" w:tplc="B82ABD48">
      <w:start w:val="1"/>
      <w:numFmt w:val="bullet"/>
      <w:lvlText w:val="o"/>
      <w:lvlJc w:val="left"/>
      <w:pPr>
        <w:ind w:left="1440" w:hanging="360"/>
      </w:pPr>
      <w:rPr>
        <w:rFonts w:ascii="Courier New" w:hAnsi="Courier New" w:cs="Times New Roman" w:hint="default"/>
      </w:rPr>
    </w:lvl>
    <w:lvl w:ilvl="2" w:tplc="0D605BFE">
      <w:start w:val="1"/>
      <w:numFmt w:val="bullet"/>
      <w:lvlText w:val=""/>
      <w:lvlJc w:val="left"/>
      <w:pPr>
        <w:ind w:left="2160" w:hanging="360"/>
      </w:pPr>
      <w:rPr>
        <w:rFonts w:ascii="Wingdings" w:hAnsi="Wingdings" w:hint="default"/>
      </w:rPr>
    </w:lvl>
    <w:lvl w:ilvl="3" w:tplc="85E63BAA">
      <w:start w:val="1"/>
      <w:numFmt w:val="bullet"/>
      <w:lvlText w:val=""/>
      <w:lvlJc w:val="left"/>
      <w:pPr>
        <w:ind w:left="2880" w:hanging="360"/>
      </w:pPr>
      <w:rPr>
        <w:rFonts w:ascii="Symbol" w:hAnsi="Symbol" w:hint="default"/>
      </w:rPr>
    </w:lvl>
    <w:lvl w:ilvl="4" w:tplc="55366F5E">
      <w:start w:val="1"/>
      <w:numFmt w:val="bullet"/>
      <w:lvlText w:val="o"/>
      <w:lvlJc w:val="left"/>
      <w:pPr>
        <w:ind w:left="3600" w:hanging="360"/>
      </w:pPr>
      <w:rPr>
        <w:rFonts w:ascii="Courier New" w:hAnsi="Courier New" w:cs="Times New Roman" w:hint="default"/>
      </w:rPr>
    </w:lvl>
    <w:lvl w:ilvl="5" w:tplc="DB666642">
      <w:start w:val="1"/>
      <w:numFmt w:val="bullet"/>
      <w:lvlText w:val=""/>
      <w:lvlJc w:val="left"/>
      <w:pPr>
        <w:ind w:left="4320" w:hanging="360"/>
      </w:pPr>
      <w:rPr>
        <w:rFonts w:ascii="Wingdings" w:hAnsi="Wingdings" w:hint="default"/>
      </w:rPr>
    </w:lvl>
    <w:lvl w:ilvl="6" w:tplc="8D2EC9EA">
      <w:start w:val="1"/>
      <w:numFmt w:val="bullet"/>
      <w:lvlText w:val=""/>
      <w:lvlJc w:val="left"/>
      <w:pPr>
        <w:ind w:left="5040" w:hanging="360"/>
      </w:pPr>
      <w:rPr>
        <w:rFonts w:ascii="Symbol" w:hAnsi="Symbol" w:hint="default"/>
      </w:rPr>
    </w:lvl>
    <w:lvl w:ilvl="7" w:tplc="C6E60390">
      <w:start w:val="1"/>
      <w:numFmt w:val="bullet"/>
      <w:lvlText w:val="o"/>
      <w:lvlJc w:val="left"/>
      <w:pPr>
        <w:ind w:left="5760" w:hanging="360"/>
      </w:pPr>
      <w:rPr>
        <w:rFonts w:ascii="Courier New" w:hAnsi="Courier New" w:cs="Times New Roman" w:hint="default"/>
      </w:rPr>
    </w:lvl>
    <w:lvl w:ilvl="8" w:tplc="F8F69C44">
      <w:start w:val="1"/>
      <w:numFmt w:val="bullet"/>
      <w:lvlText w:val=""/>
      <w:lvlJc w:val="left"/>
      <w:pPr>
        <w:ind w:left="6480" w:hanging="360"/>
      </w:pPr>
      <w:rPr>
        <w:rFonts w:ascii="Wingdings" w:hAnsi="Wingdings" w:hint="default"/>
      </w:rPr>
    </w:lvl>
  </w:abstractNum>
  <w:abstractNum w:abstractNumId="67" w15:restartNumberingAfterBreak="0">
    <w:nsid w:val="71551F16"/>
    <w:multiLevelType w:val="hybridMultilevel"/>
    <w:tmpl w:val="C5CCB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1A49F73"/>
    <w:multiLevelType w:val="hybridMultilevel"/>
    <w:tmpl w:val="C436D242"/>
    <w:lvl w:ilvl="0" w:tplc="D316A24A">
      <w:start w:val="1"/>
      <w:numFmt w:val="bullet"/>
      <w:lvlText w:val=""/>
      <w:lvlJc w:val="left"/>
      <w:pPr>
        <w:ind w:left="720" w:hanging="360"/>
      </w:pPr>
      <w:rPr>
        <w:rFonts w:ascii="Symbol" w:hAnsi="Symbol" w:hint="default"/>
      </w:rPr>
    </w:lvl>
    <w:lvl w:ilvl="1" w:tplc="A1443044">
      <w:start w:val="1"/>
      <w:numFmt w:val="bullet"/>
      <w:lvlText w:val="o"/>
      <w:lvlJc w:val="left"/>
      <w:pPr>
        <w:ind w:left="1440" w:hanging="360"/>
      </w:pPr>
      <w:rPr>
        <w:rFonts w:ascii="Courier New" w:hAnsi="Courier New" w:hint="default"/>
      </w:rPr>
    </w:lvl>
    <w:lvl w:ilvl="2" w:tplc="0F823920">
      <w:start w:val="1"/>
      <w:numFmt w:val="bullet"/>
      <w:lvlText w:val=""/>
      <w:lvlJc w:val="left"/>
      <w:pPr>
        <w:ind w:left="2160" w:hanging="360"/>
      </w:pPr>
      <w:rPr>
        <w:rFonts w:ascii="Wingdings" w:hAnsi="Wingdings" w:hint="default"/>
      </w:rPr>
    </w:lvl>
    <w:lvl w:ilvl="3" w:tplc="EFF2D16E">
      <w:start w:val="1"/>
      <w:numFmt w:val="bullet"/>
      <w:lvlText w:val=""/>
      <w:lvlJc w:val="left"/>
      <w:pPr>
        <w:ind w:left="2880" w:hanging="360"/>
      </w:pPr>
      <w:rPr>
        <w:rFonts w:ascii="Symbol" w:hAnsi="Symbol" w:hint="default"/>
      </w:rPr>
    </w:lvl>
    <w:lvl w:ilvl="4" w:tplc="F118D856">
      <w:start w:val="1"/>
      <w:numFmt w:val="bullet"/>
      <w:lvlText w:val="o"/>
      <w:lvlJc w:val="left"/>
      <w:pPr>
        <w:ind w:left="3600" w:hanging="360"/>
      </w:pPr>
      <w:rPr>
        <w:rFonts w:ascii="Courier New" w:hAnsi="Courier New" w:hint="default"/>
      </w:rPr>
    </w:lvl>
    <w:lvl w:ilvl="5" w:tplc="E690D78E">
      <w:start w:val="1"/>
      <w:numFmt w:val="bullet"/>
      <w:lvlText w:val=""/>
      <w:lvlJc w:val="left"/>
      <w:pPr>
        <w:ind w:left="4320" w:hanging="360"/>
      </w:pPr>
      <w:rPr>
        <w:rFonts w:ascii="Wingdings" w:hAnsi="Wingdings" w:hint="default"/>
      </w:rPr>
    </w:lvl>
    <w:lvl w:ilvl="6" w:tplc="13225CA4">
      <w:start w:val="1"/>
      <w:numFmt w:val="bullet"/>
      <w:lvlText w:val=""/>
      <w:lvlJc w:val="left"/>
      <w:pPr>
        <w:ind w:left="5040" w:hanging="360"/>
      </w:pPr>
      <w:rPr>
        <w:rFonts w:ascii="Symbol" w:hAnsi="Symbol" w:hint="default"/>
      </w:rPr>
    </w:lvl>
    <w:lvl w:ilvl="7" w:tplc="9244DF14">
      <w:start w:val="1"/>
      <w:numFmt w:val="bullet"/>
      <w:lvlText w:val="o"/>
      <w:lvlJc w:val="left"/>
      <w:pPr>
        <w:ind w:left="5760" w:hanging="360"/>
      </w:pPr>
      <w:rPr>
        <w:rFonts w:ascii="Courier New" w:hAnsi="Courier New" w:hint="default"/>
      </w:rPr>
    </w:lvl>
    <w:lvl w:ilvl="8" w:tplc="AA6A1D9C">
      <w:start w:val="1"/>
      <w:numFmt w:val="bullet"/>
      <w:lvlText w:val=""/>
      <w:lvlJc w:val="left"/>
      <w:pPr>
        <w:ind w:left="6480" w:hanging="360"/>
      </w:pPr>
      <w:rPr>
        <w:rFonts w:ascii="Wingdings" w:hAnsi="Wingdings" w:hint="default"/>
      </w:rPr>
    </w:lvl>
  </w:abstractNum>
  <w:abstractNum w:abstractNumId="69" w15:restartNumberingAfterBreak="0">
    <w:nsid w:val="7451FDB4"/>
    <w:multiLevelType w:val="hybridMultilevel"/>
    <w:tmpl w:val="B6F8C29E"/>
    <w:lvl w:ilvl="0" w:tplc="B7BE7BE2">
      <w:start w:val="1"/>
      <w:numFmt w:val="bullet"/>
      <w:lvlText w:val=""/>
      <w:lvlJc w:val="left"/>
      <w:pPr>
        <w:ind w:left="720" w:hanging="360"/>
      </w:pPr>
      <w:rPr>
        <w:rFonts w:ascii="Symbol" w:hAnsi="Symbol" w:hint="default"/>
      </w:rPr>
    </w:lvl>
    <w:lvl w:ilvl="1" w:tplc="1D7A30EE">
      <w:start w:val="1"/>
      <w:numFmt w:val="bullet"/>
      <w:lvlText w:val="o"/>
      <w:lvlJc w:val="left"/>
      <w:pPr>
        <w:ind w:left="1440" w:hanging="360"/>
      </w:pPr>
      <w:rPr>
        <w:rFonts w:ascii="Courier New" w:hAnsi="Courier New" w:cs="Times New Roman" w:hint="default"/>
      </w:rPr>
    </w:lvl>
    <w:lvl w:ilvl="2" w:tplc="97C4C0B2">
      <w:start w:val="1"/>
      <w:numFmt w:val="bullet"/>
      <w:lvlText w:val=""/>
      <w:lvlJc w:val="left"/>
      <w:pPr>
        <w:ind w:left="2160" w:hanging="360"/>
      </w:pPr>
      <w:rPr>
        <w:rFonts w:ascii="Wingdings" w:hAnsi="Wingdings" w:hint="default"/>
      </w:rPr>
    </w:lvl>
    <w:lvl w:ilvl="3" w:tplc="EC4246AC">
      <w:start w:val="1"/>
      <w:numFmt w:val="bullet"/>
      <w:lvlText w:val=""/>
      <w:lvlJc w:val="left"/>
      <w:pPr>
        <w:ind w:left="2880" w:hanging="360"/>
      </w:pPr>
      <w:rPr>
        <w:rFonts w:ascii="Symbol" w:hAnsi="Symbol" w:hint="default"/>
      </w:rPr>
    </w:lvl>
    <w:lvl w:ilvl="4" w:tplc="CBC8449C">
      <w:start w:val="1"/>
      <w:numFmt w:val="bullet"/>
      <w:lvlText w:val="o"/>
      <w:lvlJc w:val="left"/>
      <w:pPr>
        <w:ind w:left="3600" w:hanging="360"/>
      </w:pPr>
      <w:rPr>
        <w:rFonts w:ascii="Courier New" w:hAnsi="Courier New" w:cs="Times New Roman" w:hint="default"/>
      </w:rPr>
    </w:lvl>
    <w:lvl w:ilvl="5" w:tplc="883E45D8">
      <w:start w:val="1"/>
      <w:numFmt w:val="bullet"/>
      <w:lvlText w:val=""/>
      <w:lvlJc w:val="left"/>
      <w:pPr>
        <w:ind w:left="4320" w:hanging="360"/>
      </w:pPr>
      <w:rPr>
        <w:rFonts w:ascii="Wingdings" w:hAnsi="Wingdings" w:hint="default"/>
      </w:rPr>
    </w:lvl>
    <w:lvl w:ilvl="6" w:tplc="C31458EC">
      <w:start w:val="1"/>
      <w:numFmt w:val="bullet"/>
      <w:lvlText w:val=""/>
      <w:lvlJc w:val="left"/>
      <w:pPr>
        <w:ind w:left="5040" w:hanging="360"/>
      </w:pPr>
      <w:rPr>
        <w:rFonts w:ascii="Symbol" w:hAnsi="Symbol" w:hint="default"/>
      </w:rPr>
    </w:lvl>
    <w:lvl w:ilvl="7" w:tplc="B68468BC">
      <w:start w:val="1"/>
      <w:numFmt w:val="bullet"/>
      <w:lvlText w:val="o"/>
      <w:lvlJc w:val="left"/>
      <w:pPr>
        <w:ind w:left="5760" w:hanging="360"/>
      </w:pPr>
      <w:rPr>
        <w:rFonts w:ascii="Courier New" w:hAnsi="Courier New" w:cs="Times New Roman" w:hint="default"/>
      </w:rPr>
    </w:lvl>
    <w:lvl w:ilvl="8" w:tplc="8C3EA11C">
      <w:start w:val="1"/>
      <w:numFmt w:val="bullet"/>
      <w:lvlText w:val=""/>
      <w:lvlJc w:val="left"/>
      <w:pPr>
        <w:ind w:left="6480" w:hanging="360"/>
      </w:pPr>
      <w:rPr>
        <w:rFonts w:ascii="Wingdings" w:hAnsi="Wingdings" w:hint="default"/>
      </w:rPr>
    </w:lvl>
  </w:abstractNum>
  <w:abstractNum w:abstractNumId="70" w15:restartNumberingAfterBreak="0">
    <w:nsid w:val="76E1DCA8"/>
    <w:multiLevelType w:val="hybridMultilevel"/>
    <w:tmpl w:val="0A3E3A40"/>
    <w:lvl w:ilvl="0" w:tplc="3C5E50AE">
      <w:start w:val="1"/>
      <w:numFmt w:val="bullet"/>
      <w:lvlText w:val=""/>
      <w:lvlJc w:val="left"/>
      <w:pPr>
        <w:ind w:left="720" w:hanging="360"/>
      </w:pPr>
      <w:rPr>
        <w:rFonts w:ascii="Symbol" w:hAnsi="Symbol" w:hint="default"/>
      </w:rPr>
    </w:lvl>
    <w:lvl w:ilvl="1" w:tplc="7778DB90">
      <w:start w:val="1"/>
      <w:numFmt w:val="bullet"/>
      <w:lvlText w:val="o"/>
      <w:lvlJc w:val="left"/>
      <w:pPr>
        <w:ind w:left="1440" w:hanging="360"/>
      </w:pPr>
      <w:rPr>
        <w:rFonts w:ascii="Courier New" w:hAnsi="Courier New" w:cs="Times New Roman" w:hint="default"/>
      </w:rPr>
    </w:lvl>
    <w:lvl w:ilvl="2" w:tplc="BB5E82F6">
      <w:start w:val="1"/>
      <w:numFmt w:val="bullet"/>
      <w:lvlText w:val=""/>
      <w:lvlJc w:val="left"/>
      <w:pPr>
        <w:ind w:left="2160" w:hanging="360"/>
      </w:pPr>
      <w:rPr>
        <w:rFonts w:ascii="Wingdings" w:hAnsi="Wingdings" w:hint="default"/>
      </w:rPr>
    </w:lvl>
    <w:lvl w:ilvl="3" w:tplc="84C04C8A">
      <w:start w:val="1"/>
      <w:numFmt w:val="bullet"/>
      <w:lvlText w:val=""/>
      <w:lvlJc w:val="left"/>
      <w:pPr>
        <w:ind w:left="2880" w:hanging="360"/>
      </w:pPr>
      <w:rPr>
        <w:rFonts w:ascii="Symbol" w:hAnsi="Symbol" w:hint="default"/>
      </w:rPr>
    </w:lvl>
    <w:lvl w:ilvl="4" w:tplc="BA8656FE">
      <w:start w:val="1"/>
      <w:numFmt w:val="bullet"/>
      <w:lvlText w:val="o"/>
      <w:lvlJc w:val="left"/>
      <w:pPr>
        <w:ind w:left="3600" w:hanging="360"/>
      </w:pPr>
      <w:rPr>
        <w:rFonts w:ascii="Courier New" w:hAnsi="Courier New" w:cs="Times New Roman" w:hint="default"/>
      </w:rPr>
    </w:lvl>
    <w:lvl w:ilvl="5" w:tplc="EAFA39C6">
      <w:start w:val="1"/>
      <w:numFmt w:val="bullet"/>
      <w:lvlText w:val=""/>
      <w:lvlJc w:val="left"/>
      <w:pPr>
        <w:ind w:left="4320" w:hanging="360"/>
      </w:pPr>
      <w:rPr>
        <w:rFonts w:ascii="Wingdings" w:hAnsi="Wingdings" w:hint="default"/>
      </w:rPr>
    </w:lvl>
    <w:lvl w:ilvl="6" w:tplc="D99A6BD2">
      <w:start w:val="1"/>
      <w:numFmt w:val="bullet"/>
      <w:lvlText w:val=""/>
      <w:lvlJc w:val="left"/>
      <w:pPr>
        <w:ind w:left="5040" w:hanging="360"/>
      </w:pPr>
      <w:rPr>
        <w:rFonts w:ascii="Symbol" w:hAnsi="Symbol" w:hint="default"/>
      </w:rPr>
    </w:lvl>
    <w:lvl w:ilvl="7" w:tplc="E7E26684">
      <w:start w:val="1"/>
      <w:numFmt w:val="bullet"/>
      <w:lvlText w:val="o"/>
      <w:lvlJc w:val="left"/>
      <w:pPr>
        <w:ind w:left="5760" w:hanging="360"/>
      </w:pPr>
      <w:rPr>
        <w:rFonts w:ascii="Courier New" w:hAnsi="Courier New" w:cs="Times New Roman" w:hint="default"/>
      </w:rPr>
    </w:lvl>
    <w:lvl w:ilvl="8" w:tplc="5F4A0DA8">
      <w:start w:val="1"/>
      <w:numFmt w:val="bullet"/>
      <w:lvlText w:val=""/>
      <w:lvlJc w:val="left"/>
      <w:pPr>
        <w:ind w:left="6480" w:hanging="360"/>
      </w:pPr>
      <w:rPr>
        <w:rFonts w:ascii="Wingdings" w:hAnsi="Wingdings" w:hint="default"/>
      </w:rPr>
    </w:lvl>
  </w:abstractNum>
  <w:abstractNum w:abstractNumId="71" w15:restartNumberingAfterBreak="0">
    <w:nsid w:val="7769C1A2"/>
    <w:multiLevelType w:val="hybridMultilevel"/>
    <w:tmpl w:val="FFFFFFFF"/>
    <w:lvl w:ilvl="0" w:tplc="542A3292">
      <w:start w:val="1"/>
      <w:numFmt w:val="bullet"/>
      <w:lvlText w:val=""/>
      <w:lvlJc w:val="left"/>
      <w:pPr>
        <w:ind w:left="720" w:hanging="360"/>
      </w:pPr>
      <w:rPr>
        <w:rFonts w:ascii="Symbol" w:hAnsi="Symbol" w:hint="default"/>
      </w:rPr>
    </w:lvl>
    <w:lvl w:ilvl="1" w:tplc="98649F60">
      <w:start w:val="1"/>
      <w:numFmt w:val="bullet"/>
      <w:lvlText w:val="o"/>
      <w:lvlJc w:val="left"/>
      <w:pPr>
        <w:ind w:left="1440" w:hanging="360"/>
      </w:pPr>
      <w:rPr>
        <w:rFonts w:ascii="Courier New" w:hAnsi="Courier New" w:cs="Times New Roman" w:hint="default"/>
      </w:rPr>
    </w:lvl>
    <w:lvl w:ilvl="2" w:tplc="A928E114">
      <w:start w:val="1"/>
      <w:numFmt w:val="bullet"/>
      <w:lvlText w:val=""/>
      <w:lvlJc w:val="left"/>
      <w:pPr>
        <w:ind w:left="2160" w:hanging="360"/>
      </w:pPr>
      <w:rPr>
        <w:rFonts w:ascii="Wingdings" w:hAnsi="Wingdings" w:hint="default"/>
      </w:rPr>
    </w:lvl>
    <w:lvl w:ilvl="3" w:tplc="4A6CA984">
      <w:start w:val="1"/>
      <w:numFmt w:val="bullet"/>
      <w:lvlText w:val=""/>
      <w:lvlJc w:val="left"/>
      <w:pPr>
        <w:ind w:left="2880" w:hanging="360"/>
      </w:pPr>
      <w:rPr>
        <w:rFonts w:ascii="Symbol" w:hAnsi="Symbol" w:hint="default"/>
      </w:rPr>
    </w:lvl>
    <w:lvl w:ilvl="4" w:tplc="999EDC66">
      <w:start w:val="1"/>
      <w:numFmt w:val="bullet"/>
      <w:lvlText w:val="o"/>
      <w:lvlJc w:val="left"/>
      <w:pPr>
        <w:ind w:left="3600" w:hanging="360"/>
      </w:pPr>
      <w:rPr>
        <w:rFonts w:ascii="Courier New" w:hAnsi="Courier New" w:cs="Times New Roman" w:hint="default"/>
      </w:rPr>
    </w:lvl>
    <w:lvl w:ilvl="5" w:tplc="C28C254E">
      <w:start w:val="1"/>
      <w:numFmt w:val="bullet"/>
      <w:lvlText w:val=""/>
      <w:lvlJc w:val="left"/>
      <w:pPr>
        <w:ind w:left="4320" w:hanging="360"/>
      </w:pPr>
      <w:rPr>
        <w:rFonts w:ascii="Wingdings" w:hAnsi="Wingdings" w:hint="default"/>
      </w:rPr>
    </w:lvl>
    <w:lvl w:ilvl="6" w:tplc="91200CF8">
      <w:start w:val="1"/>
      <w:numFmt w:val="bullet"/>
      <w:lvlText w:val=""/>
      <w:lvlJc w:val="left"/>
      <w:pPr>
        <w:ind w:left="5040" w:hanging="360"/>
      </w:pPr>
      <w:rPr>
        <w:rFonts w:ascii="Symbol" w:hAnsi="Symbol" w:hint="default"/>
      </w:rPr>
    </w:lvl>
    <w:lvl w:ilvl="7" w:tplc="D8746074">
      <w:start w:val="1"/>
      <w:numFmt w:val="bullet"/>
      <w:lvlText w:val="o"/>
      <w:lvlJc w:val="left"/>
      <w:pPr>
        <w:ind w:left="5760" w:hanging="360"/>
      </w:pPr>
      <w:rPr>
        <w:rFonts w:ascii="Courier New" w:hAnsi="Courier New" w:cs="Times New Roman" w:hint="default"/>
      </w:rPr>
    </w:lvl>
    <w:lvl w:ilvl="8" w:tplc="D8C6B212">
      <w:start w:val="1"/>
      <w:numFmt w:val="bullet"/>
      <w:lvlText w:val=""/>
      <w:lvlJc w:val="left"/>
      <w:pPr>
        <w:ind w:left="6480" w:hanging="360"/>
      </w:pPr>
      <w:rPr>
        <w:rFonts w:ascii="Wingdings" w:hAnsi="Wingdings" w:hint="default"/>
      </w:rPr>
    </w:lvl>
  </w:abstractNum>
  <w:abstractNum w:abstractNumId="72" w15:restartNumberingAfterBreak="0">
    <w:nsid w:val="77E72F1D"/>
    <w:multiLevelType w:val="hybridMultilevel"/>
    <w:tmpl w:val="3BB27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B220B62"/>
    <w:multiLevelType w:val="multilevel"/>
    <w:tmpl w:val="73B2F2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F2A3868"/>
    <w:multiLevelType w:val="hybridMultilevel"/>
    <w:tmpl w:val="4448F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7F8F5CD9"/>
    <w:multiLevelType w:val="multilevel"/>
    <w:tmpl w:val="EBCA2A2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FA5C6BE"/>
    <w:multiLevelType w:val="hybridMultilevel"/>
    <w:tmpl w:val="D32260D2"/>
    <w:lvl w:ilvl="0" w:tplc="F21806CA">
      <w:start w:val="1"/>
      <w:numFmt w:val="bullet"/>
      <w:lvlText w:val=""/>
      <w:lvlJc w:val="left"/>
      <w:pPr>
        <w:ind w:left="720" w:hanging="360"/>
      </w:pPr>
      <w:rPr>
        <w:rFonts w:ascii="Symbol" w:hAnsi="Symbol" w:hint="default"/>
      </w:rPr>
    </w:lvl>
    <w:lvl w:ilvl="1" w:tplc="C2EC75FC">
      <w:start w:val="1"/>
      <w:numFmt w:val="bullet"/>
      <w:lvlText w:val="o"/>
      <w:lvlJc w:val="left"/>
      <w:pPr>
        <w:ind w:left="1440" w:hanging="360"/>
      </w:pPr>
      <w:rPr>
        <w:rFonts w:ascii="Courier New" w:hAnsi="Courier New" w:cs="Times New Roman" w:hint="default"/>
      </w:rPr>
    </w:lvl>
    <w:lvl w:ilvl="2" w:tplc="AEC0841A">
      <w:start w:val="1"/>
      <w:numFmt w:val="bullet"/>
      <w:lvlText w:val=""/>
      <w:lvlJc w:val="left"/>
      <w:pPr>
        <w:ind w:left="2160" w:hanging="360"/>
      </w:pPr>
      <w:rPr>
        <w:rFonts w:ascii="Wingdings" w:hAnsi="Wingdings" w:hint="default"/>
      </w:rPr>
    </w:lvl>
    <w:lvl w:ilvl="3" w:tplc="63EA8F84">
      <w:start w:val="1"/>
      <w:numFmt w:val="bullet"/>
      <w:lvlText w:val=""/>
      <w:lvlJc w:val="left"/>
      <w:pPr>
        <w:ind w:left="2880" w:hanging="360"/>
      </w:pPr>
      <w:rPr>
        <w:rFonts w:ascii="Symbol" w:hAnsi="Symbol" w:hint="default"/>
      </w:rPr>
    </w:lvl>
    <w:lvl w:ilvl="4" w:tplc="64C07748">
      <w:start w:val="1"/>
      <w:numFmt w:val="bullet"/>
      <w:lvlText w:val="o"/>
      <w:lvlJc w:val="left"/>
      <w:pPr>
        <w:ind w:left="3600" w:hanging="360"/>
      </w:pPr>
      <w:rPr>
        <w:rFonts w:ascii="Courier New" w:hAnsi="Courier New" w:cs="Times New Roman" w:hint="default"/>
      </w:rPr>
    </w:lvl>
    <w:lvl w:ilvl="5" w:tplc="84FE859C">
      <w:start w:val="1"/>
      <w:numFmt w:val="bullet"/>
      <w:lvlText w:val=""/>
      <w:lvlJc w:val="left"/>
      <w:pPr>
        <w:ind w:left="4320" w:hanging="360"/>
      </w:pPr>
      <w:rPr>
        <w:rFonts w:ascii="Wingdings" w:hAnsi="Wingdings" w:hint="default"/>
      </w:rPr>
    </w:lvl>
    <w:lvl w:ilvl="6" w:tplc="45DEDB3E">
      <w:start w:val="1"/>
      <w:numFmt w:val="bullet"/>
      <w:lvlText w:val=""/>
      <w:lvlJc w:val="left"/>
      <w:pPr>
        <w:ind w:left="5040" w:hanging="360"/>
      </w:pPr>
      <w:rPr>
        <w:rFonts w:ascii="Symbol" w:hAnsi="Symbol" w:hint="default"/>
      </w:rPr>
    </w:lvl>
    <w:lvl w:ilvl="7" w:tplc="57827BC4">
      <w:start w:val="1"/>
      <w:numFmt w:val="bullet"/>
      <w:lvlText w:val="o"/>
      <w:lvlJc w:val="left"/>
      <w:pPr>
        <w:ind w:left="5760" w:hanging="360"/>
      </w:pPr>
      <w:rPr>
        <w:rFonts w:ascii="Courier New" w:hAnsi="Courier New" w:cs="Times New Roman" w:hint="default"/>
      </w:rPr>
    </w:lvl>
    <w:lvl w:ilvl="8" w:tplc="B0B47A12">
      <w:start w:val="1"/>
      <w:numFmt w:val="bullet"/>
      <w:lvlText w:val=""/>
      <w:lvlJc w:val="left"/>
      <w:pPr>
        <w:ind w:left="6480" w:hanging="360"/>
      </w:pPr>
      <w:rPr>
        <w:rFonts w:ascii="Wingdings" w:hAnsi="Wingdings" w:hint="default"/>
      </w:rPr>
    </w:lvl>
  </w:abstractNum>
  <w:abstractNum w:abstractNumId="77" w15:restartNumberingAfterBreak="0">
    <w:nsid w:val="7FB22502"/>
    <w:multiLevelType w:val="multilevel"/>
    <w:tmpl w:val="E5801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98556509">
    <w:abstractNumId w:val="0"/>
  </w:num>
  <w:num w:numId="2" w16cid:durableId="504710286">
    <w:abstractNumId w:val="69"/>
  </w:num>
  <w:num w:numId="3" w16cid:durableId="19008986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3244437">
    <w:abstractNumId w:val="35"/>
  </w:num>
  <w:num w:numId="5" w16cid:durableId="1202547178">
    <w:abstractNumId w:val="43"/>
  </w:num>
  <w:num w:numId="6" w16cid:durableId="3774410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843751">
    <w:abstractNumId w:val="61"/>
  </w:num>
  <w:num w:numId="8" w16cid:durableId="969820424">
    <w:abstractNumId w:val="15"/>
  </w:num>
  <w:num w:numId="9" w16cid:durableId="1171987514">
    <w:abstractNumId w:val="16"/>
  </w:num>
  <w:num w:numId="10" w16cid:durableId="1270118381">
    <w:abstractNumId w:val="54"/>
  </w:num>
  <w:num w:numId="11" w16cid:durableId="1012686634">
    <w:abstractNumId w:val="56"/>
  </w:num>
  <w:num w:numId="12" w16cid:durableId="1338538480">
    <w:abstractNumId w:val="9"/>
  </w:num>
  <w:num w:numId="13" w16cid:durableId="1767381691">
    <w:abstractNumId w:val="28"/>
  </w:num>
  <w:num w:numId="14" w16cid:durableId="593327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3159704">
    <w:abstractNumId w:val="41"/>
    <w:lvlOverride w:ilvl="0">
      <w:startOverride w:val="1"/>
    </w:lvlOverride>
    <w:lvlOverride w:ilvl="1"/>
    <w:lvlOverride w:ilvl="2"/>
    <w:lvlOverride w:ilvl="3"/>
    <w:lvlOverride w:ilvl="4"/>
    <w:lvlOverride w:ilvl="5"/>
    <w:lvlOverride w:ilvl="6"/>
    <w:lvlOverride w:ilvl="7"/>
    <w:lvlOverride w:ilvl="8"/>
  </w:num>
  <w:num w:numId="16" w16cid:durableId="3118375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314780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53551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9567215">
    <w:abstractNumId w:val="10"/>
  </w:num>
  <w:num w:numId="20" w16cid:durableId="738091247">
    <w:abstractNumId w:val="57"/>
  </w:num>
  <w:num w:numId="21" w16cid:durableId="1942058038">
    <w:abstractNumId w:val="39"/>
  </w:num>
  <w:num w:numId="22" w16cid:durableId="1026326291">
    <w:abstractNumId w:val="34"/>
  </w:num>
  <w:num w:numId="23" w16cid:durableId="161242985">
    <w:abstractNumId w:val="18"/>
  </w:num>
  <w:num w:numId="24" w16cid:durableId="9847009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24690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25823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66883">
    <w:abstractNumId w:val="71"/>
  </w:num>
  <w:num w:numId="28" w16cid:durableId="2119829860">
    <w:abstractNumId w:val="45"/>
  </w:num>
  <w:num w:numId="29" w16cid:durableId="1615555207">
    <w:abstractNumId w:val="25"/>
  </w:num>
  <w:num w:numId="30" w16cid:durableId="1715352389">
    <w:abstractNumId w:val="77"/>
  </w:num>
  <w:num w:numId="31" w16cid:durableId="397288091">
    <w:abstractNumId w:val="73"/>
    <w:lvlOverride w:ilvl="0"/>
    <w:lvlOverride w:ilvl="1">
      <w:startOverride w:val="1"/>
    </w:lvlOverride>
    <w:lvlOverride w:ilvl="2"/>
    <w:lvlOverride w:ilvl="3"/>
    <w:lvlOverride w:ilvl="4"/>
    <w:lvlOverride w:ilvl="5"/>
    <w:lvlOverride w:ilvl="6"/>
    <w:lvlOverride w:ilvl="7"/>
    <w:lvlOverride w:ilvl="8"/>
  </w:num>
  <w:num w:numId="32" w16cid:durableId="1967656085">
    <w:abstractNumId w:val="7"/>
  </w:num>
  <w:num w:numId="33" w16cid:durableId="248200245">
    <w:abstractNumId w:val="66"/>
  </w:num>
  <w:num w:numId="34" w16cid:durableId="512570083">
    <w:abstractNumId w:val="76"/>
  </w:num>
  <w:num w:numId="35" w16cid:durableId="1511749764">
    <w:abstractNumId w:val="46"/>
  </w:num>
  <w:num w:numId="36" w16cid:durableId="190068784">
    <w:abstractNumId w:val="33"/>
  </w:num>
  <w:num w:numId="37" w16cid:durableId="2102069192">
    <w:abstractNumId w:val="59"/>
  </w:num>
  <w:num w:numId="38" w16cid:durableId="1049190873">
    <w:abstractNumId w:val="36"/>
  </w:num>
  <w:num w:numId="39" w16cid:durableId="1181317387">
    <w:abstractNumId w:val="68"/>
  </w:num>
  <w:num w:numId="40" w16cid:durableId="1127745251">
    <w:abstractNumId w:val="32"/>
  </w:num>
  <w:num w:numId="41" w16cid:durableId="1727070583">
    <w:abstractNumId w:val="44"/>
  </w:num>
  <w:num w:numId="42" w16cid:durableId="724138039">
    <w:abstractNumId w:val="52"/>
  </w:num>
  <w:num w:numId="43" w16cid:durableId="793404641">
    <w:abstractNumId w:val="12"/>
  </w:num>
  <w:num w:numId="44" w16cid:durableId="1032192672">
    <w:abstractNumId w:val="51"/>
  </w:num>
  <w:num w:numId="45" w16cid:durableId="351037399">
    <w:abstractNumId w:val="31"/>
  </w:num>
  <w:num w:numId="46" w16cid:durableId="1233656673">
    <w:abstractNumId w:val="19"/>
  </w:num>
  <w:num w:numId="47" w16cid:durableId="13821740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25335147">
    <w:abstractNumId w:val="13"/>
  </w:num>
  <w:num w:numId="49" w16cid:durableId="1563977473">
    <w:abstractNumId w:val="27"/>
  </w:num>
  <w:num w:numId="50" w16cid:durableId="1527475289">
    <w:abstractNumId w:val="6"/>
  </w:num>
  <w:num w:numId="51" w16cid:durableId="52318477">
    <w:abstractNumId w:val="63"/>
  </w:num>
  <w:num w:numId="52" w16cid:durableId="320012575">
    <w:abstractNumId w:val="22"/>
  </w:num>
  <w:num w:numId="53" w16cid:durableId="554003727">
    <w:abstractNumId w:val="67"/>
  </w:num>
  <w:num w:numId="54" w16cid:durableId="838157241">
    <w:abstractNumId w:val="29"/>
  </w:num>
  <w:num w:numId="55" w16cid:durableId="532381542">
    <w:abstractNumId w:val="70"/>
  </w:num>
  <w:num w:numId="56" w16cid:durableId="1599214495">
    <w:abstractNumId w:val="30"/>
  </w:num>
  <w:num w:numId="57" w16cid:durableId="1616400173">
    <w:abstractNumId w:val="5"/>
  </w:num>
  <w:num w:numId="58" w16cid:durableId="453253907">
    <w:abstractNumId w:val="37"/>
  </w:num>
  <w:num w:numId="59" w16cid:durableId="16853245">
    <w:abstractNumId w:val="62"/>
  </w:num>
  <w:num w:numId="60" w16cid:durableId="1139303733">
    <w:abstractNumId w:val="50"/>
  </w:num>
  <w:num w:numId="61" w16cid:durableId="372316980">
    <w:abstractNumId w:val="53"/>
  </w:num>
  <w:num w:numId="62" w16cid:durableId="1587690517">
    <w:abstractNumId w:val="1"/>
  </w:num>
  <w:num w:numId="63" w16cid:durableId="1245189385">
    <w:abstractNumId w:val="38"/>
  </w:num>
  <w:num w:numId="64" w16cid:durableId="752319456">
    <w:abstractNumId w:val="55"/>
  </w:num>
  <w:num w:numId="65" w16cid:durableId="531651187">
    <w:abstractNumId w:val="14"/>
  </w:num>
  <w:num w:numId="66" w16cid:durableId="1006782313">
    <w:abstractNumId w:val="26"/>
  </w:num>
  <w:num w:numId="67" w16cid:durableId="1104881219">
    <w:abstractNumId w:val="58"/>
  </w:num>
  <w:num w:numId="68" w16cid:durableId="1545174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8378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97089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412047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45774441">
    <w:abstractNumId w:val="17"/>
  </w:num>
  <w:num w:numId="73" w16cid:durableId="139054294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9476420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025129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846371">
    <w:abstractNumId w:val="48"/>
  </w:num>
  <w:num w:numId="77" w16cid:durableId="105003677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11639519">
    <w:abstractNumId w:val="7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62"/>
    <w:rsid w:val="00093147"/>
    <w:rsid w:val="000C4C26"/>
    <w:rsid w:val="00190C42"/>
    <w:rsid w:val="002456C2"/>
    <w:rsid w:val="002B731F"/>
    <w:rsid w:val="002D3195"/>
    <w:rsid w:val="00364A07"/>
    <w:rsid w:val="00411D84"/>
    <w:rsid w:val="0042668E"/>
    <w:rsid w:val="0050724B"/>
    <w:rsid w:val="00510DC7"/>
    <w:rsid w:val="0056051A"/>
    <w:rsid w:val="00585173"/>
    <w:rsid w:val="005B687F"/>
    <w:rsid w:val="00660262"/>
    <w:rsid w:val="0070713E"/>
    <w:rsid w:val="00742E99"/>
    <w:rsid w:val="007A42B1"/>
    <w:rsid w:val="008A2D6F"/>
    <w:rsid w:val="00916933"/>
    <w:rsid w:val="00944CCC"/>
    <w:rsid w:val="00BF467C"/>
    <w:rsid w:val="00C34669"/>
    <w:rsid w:val="00D47BA9"/>
    <w:rsid w:val="00DB4220"/>
    <w:rsid w:val="00F56FC9"/>
    <w:rsid w:val="00F7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C7EC"/>
  <w15:chartTrackingRefBased/>
  <w15:docId w15:val="{A2238392-8E74-4A06-AA3B-17F6EF58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51A"/>
    <w:pPr>
      <w:spacing w:before="80" w:after="0" w:line="240" w:lineRule="auto"/>
    </w:pPr>
    <w:rPr>
      <w:rFonts w:ascii="Avenir Next LT Pro Light" w:eastAsia="Lato" w:hAnsi="Avenir Next LT Pro Light" w:cs="Calibri"/>
      <w:color w:val="000000" w:themeColor="text1"/>
      <w:sz w:val="24"/>
      <w:szCs w:val="24"/>
    </w:rPr>
  </w:style>
  <w:style w:type="paragraph" w:styleId="Heading1">
    <w:name w:val="heading 1"/>
    <w:basedOn w:val="Normal"/>
    <w:next w:val="Normal"/>
    <w:link w:val="Heading1Char"/>
    <w:uiPriority w:val="9"/>
    <w:qFormat/>
    <w:rsid w:val="0056051A"/>
    <w:pPr>
      <w:spacing w:after="9000"/>
      <w:jc w:val="center"/>
      <w:outlineLvl w:val="0"/>
    </w:pPr>
    <w:rPr>
      <w:b/>
      <w:bCs/>
      <w:sz w:val="48"/>
      <w:szCs w:val="48"/>
    </w:rPr>
  </w:style>
  <w:style w:type="paragraph" w:styleId="Heading2">
    <w:name w:val="heading 2"/>
    <w:basedOn w:val="Normal"/>
    <w:next w:val="Normal"/>
    <w:link w:val="Heading2Char"/>
    <w:uiPriority w:val="9"/>
    <w:unhideWhenUsed/>
    <w:qFormat/>
    <w:rsid w:val="0056051A"/>
    <w:pPr>
      <w:spacing w:after="240"/>
      <w:ind w:left="274"/>
      <w:outlineLvl w:val="1"/>
    </w:pPr>
    <w:rPr>
      <w:sz w:val="32"/>
      <w:szCs w:val="32"/>
    </w:rPr>
  </w:style>
  <w:style w:type="paragraph" w:styleId="Heading3">
    <w:name w:val="heading 3"/>
    <w:basedOn w:val="Heading2"/>
    <w:next w:val="Normal"/>
    <w:link w:val="Heading3Char"/>
    <w:autoRedefine/>
    <w:uiPriority w:val="9"/>
    <w:unhideWhenUsed/>
    <w:qFormat/>
    <w:rsid w:val="00944CCC"/>
    <w:pPr>
      <w:spacing w:after="120"/>
      <w:ind w:left="547"/>
      <w:outlineLvl w:val="2"/>
    </w:pPr>
    <w:rPr>
      <w:rFonts w:ascii="Open Sans" w:hAnsi="Open Sans" w:cs="Open Sans"/>
      <w:b/>
      <w:color w:val="1D79A0"/>
      <w:sz w:val="24"/>
      <w:szCs w:val="24"/>
      <w:lang w:eastAsia="ja-JP"/>
    </w:rPr>
  </w:style>
  <w:style w:type="paragraph" w:styleId="Heading4">
    <w:name w:val="heading 4"/>
    <w:basedOn w:val="Normal"/>
    <w:next w:val="Normal"/>
    <w:link w:val="Heading4Char"/>
    <w:uiPriority w:val="9"/>
    <w:unhideWhenUsed/>
    <w:qFormat/>
    <w:rsid w:val="00660262"/>
    <w:pPr>
      <w:keepNext/>
      <w:keepLines/>
      <w:spacing w:before="40"/>
      <w:ind w:left="360" w:hanging="540"/>
      <w:outlineLvl w:val="3"/>
    </w:pPr>
    <w:rPr>
      <w:rFonts w:asciiTheme="majorHAnsi" w:eastAsiaTheme="majorEastAsia" w:hAnsiTheme="majorHAnsi" w:cstheme="majorBidi"/>
      <w:b/>
      <w:bCs/>
      <w:color w:val="1F4E79" w:themeColor="accent5" w:themeShade="80"/>
    </w:rPr>
  </w:style>
  <w:style w:type="paragraph" w:styleId="Heading5">
    <w:name w:val="heading 5"/>
    <w:basedOn w:val="Normal"/>
    <w:next w:val="Normal"/>
    <w:link w:val="Heading5Char"/>
    <w:uiPriority w:val="9"/>
    <w:unhideWhenUsed/>
    <w:qFormat/>
    <w:rsid w:val="0066026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60262"/>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660262"/>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660262"/>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660262"/>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51A"/>
    <w:rPr>
      <w:rFonts w:ascii="Avenir Next LT Pro Light" w:eastAsia="Lato" w:hAnsi="Avenir Next LT Pro Light" w:cs="Calibri"/>
      <w:b/>
      <w:bCs/>
      <w:color w:val="000000" w:themeColor="text1"/>
      <w:sz w:val="48"/>
      <w:szCs w:val="48"/>
    </w:rPr>
  </w:style>
  <w:style w:type="character" w:customStyle="1" w:styleId="Heading2Char">
    <w:name w:val="Heading 2 Char"/>
    <w:basedOn w:val="DefaultParagraphFont"/>
    <w:link w:val="Heading2"/>
    <w:uiPriority w:val="9"/>
    <w:rsid w:val="0056051A"/>
    <w:rPr>
      <w:rFonts w:ascii="Avenir Next LT Pro Light" w:eastAsia="Lato" w:hAnsi="Avenir Next LT Pro Light" w:cs="Lato"/>
      <w:color w:val="000000" w:themeColor="text1"/>
      <w:sz w:val="32"/>
      <w:szCs w:val="32"/>
    </w:rPr>
  </w:style>
  <w:style w:type="character" w:customStyle="1" w:styleId="Heading3Char">
    <w:name w:val="Heading 3 Char"/>
    <w:basedOn w:val="DefaultParagraphFont"/>
    <w:link w:val="Heading3"/>
    <w:uiPriority w:val="9"/>
    <w:rsid w:val="00944CCC"/>
    <w:rPr>
      <w:rFonts w:ascii="Open Sans" w:eastAsia="Lato" w:hAnsi="Open Sans" w:cs="Open Sans"/>
      <w:b/>
      <w:color w:val="1D79A0"/>
      <w:sz w:val="24"/>
      <w:szCs w:val="24"/>
      <w:lang w:eastAsia="ja-JP"/>
    </w:rPr>
  </w:style>
  <w:style w:type="character" w:customStyle="1" w:styleId="Heading4Char">
    <w:name w:val="Heading 4 Char"/>
    <w:basedOn w:val="DefaultParagraphFont"/>
    <w:link w:val="Heading4"/>
    <w:uiPriority w:val="9"/>
    <w:rsid w:val="00660262"/>
    <w:rPr>
      <w:rFonts w:asciiTheme="majorHAnsi" w:eastAsiaTheme="majorEastAsia" w:hAnsiTheme="majorHAnsi" w:cstheme="majorBidi"/>
      <w:b/>
      <w:bCs/>
      <w:color w:val="1F4E79" w:themeColor="accent5" w:themeShade="80"/>
      <w:sz w:val="24"/>
      <w:szCs w:val="24"/>
    </w:rPr>
  </w:style>
  <w:style w:type="character" w:customStyle="1" w:styleId="Heading5Char">
    <w:name w:val="Heading 5 Char"/>
    <w:basedOn w:val="DefaultParagraphFont"/>
    <w:link w:val="Heading5"/>
    <w:uiPriority w:val="9"/>
    <w:rsid w:val="00660262"/>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660262"/>
    <w:rPr>
      <w:rFonts w:asciiTheme="majorHAnsi" w:eastAsiaTheme="majorEastAsia" w:hAnsiTheme="majorHAnsi" w:cstheme="majorBidi"/>
      <w:color w:val="1F3763"/>
      <w:sz w:val="24"/>
      <w:szCs w:val="24"/>
    </w:rPr>
  </w:style>
  <w:style w:type="character" w:customStyle="1" w:styleId="Heading7Char">
    <w:name w:val="Heading 7 Char"/>
    <w:basedOn w:val="DefaultParagraphFont"/>
    <w:link w:val="Heading7"/>
    <w:uiPriority w:val="9"/>
    <w:rsid w:val="00660262"/>
    <w:rPr>
      <w:rFonts w:asciiTheme="majorHAnsi" w:eastAsiaTheme="majorEastAsia" w:hAnsiTheme="majorHAnsi" w:cstheme="majorBidi"/>
      <w:i/>
      <w:iCs/>
      <w:color w:val="1F3763"/>
      <w:sz w:val="24"/>
      <w:szCs w:val="24"/>
    </w:rPr>
  </w:style>
  <w:style w:type="character" w:customStyle="1" w:styleId="Heading8Char">
    <w:name w:val="Heading 8 Char"/>
    <w:basedOn w:val="DefaultParagraphFont"/>
    <w:link w:val="Heading8"/>
    <w:uiPriority w:val="9"/>
    <w:rsid w:val="00660262"/>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660262"/>
    <w:rPr>
      <w:rFonts w:asciiTheme="majorHAnsi" w:eastAsiaTheme="majorEastAsia" w:hAnsiTheme="majorHAnsi" w:cstheme="majorBidi"/>
      <w:i/>
      <w:iCs/>
      <w:color w:val="272727"/>
      <w:sz w:val="21"/>
      <w:szCs w:val="21"/>
    </w:rPr>
  </w:style>
  <w:style w:type="paragraph" w:styleId="Title">
    <w:name w:val="Title"/>
    <w:basedOn w:val="Normal"/>
    <w:next w:val="Normal"/>
    <w:link w:val="TitleChar"/>
    <w:uiPriority w:val="10"/>
    <w:qFormat/>
    <w:rsid w:val="00660262"/>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660262"/>
    <w:rPr>
      <w:rFonts w:asciiTheme="majorHAnsi" w:eastAsiaTheme="majorEastAsia" w:hAnsiTheme="majorHAnsi" w:cstheme="majorBidi"/>
      <w:color w:val="000000" w:themeColor="text1"/>
      <w:sz w:val="56"/>
      <w:szCs w:val="56"/>
    </w:rPr>
  </w:style>
  <w:style w:type="paragraph" w:styleId="TOCHeading">
    <w:name w:val="TOC Heading"/>
    <w:basedOn w:val="Heading1"/>
    <w:next w:val="Normal"/>
    <w:uiPriority w:val="39"/>
    <w:unhideWhenUsed/>
    <w:qFormat/>
    <w:rsid w:val="00660262"/>
    <w:pPr>
      <w:spacing w:before="480"/>
    </w:pPr>
    <w:rPr>
      <w:rFonts w:asciiTheme="majorHAnsi" w:hAnsiTheme="majorHAnsi"/>
      <w:sz w:val="28"/>
      <w:szCs w:val="28"/>
    </w:rPr>
  </w:style>
  <w:style w:type="paragraph" w:styleId="TOC1">
    <w:name w:val="toc 1"/>
    <w:basedOn w:val="Normal"/>
    <w:next w:val="Normal"/>
    <w:uiPriority w:val="39"/>
    <w:unhideWhenUsed/>
    <w:rsid w:val="00660262"/>
    <w:pPr>
      <w:spacing w:before="120" w:after="120"/>
    </w:pPr>
    <w:rPr>
      <w:rFonts w:asciiTheme="minorHAnsi" w:hAnsiTheme="minorHAnsi" w:cstheme="minorHAnsi"/>
      <w:b/>
      <w:bCs/>
      <w:caps/>
      <w:sz w:val="20"/>
      <w:szCs w:val="20"/>
    </w:rPr>
  </w:style>
  <w:style w:type="paragraph" w:styleId="TOC2">
    <w:name w:val="toc 2"/>
    <w:basedOn w:val="Normal"/>
    <w:next w:val="Normal"/>
    <w:uiPriority w:val="39"/>
    <w:unhideWhenUsed/>
    <w:rsid w:val="00660262"/>
    <w:pPr>
      <w:spacing w:before="0"/>
      <w:ind w:left="240"/>
    </w:pPr>
    <w:rPr>
      <w:rFonts w:asciiTheme="minorHAnsi" w:hAnsiTheme="minorHAnsi" w:cstheme="minorHAnsi"/>
      <w:smallCaps/>
      <w:sz w:val="20"/>
      <w:szCs w:val="20"/>
    </w:rPr>
  </w:style>
  <w:style w:type="paragraph" w:styleId="TOC3">
    <w:name w:val="toc 3"/>
    <w:basedOn w:val="Normal"/>
    <w:next w:val="Normal"/>
    <w:uiPriority w:val="39"/>
    <w:unhideWhenUsed/>
    <w:rsid w:val="00660262"/>
    <w:pPr>
      <w:spacing w:before="0"/>
      <w:ind w:left="480"/>
    </w:pPr>
    <w:rPr>
      <w:rFonts w:asciiTheme="minorHAnsi" w:hAnsiTheme="minorHAnsi" w:cstheme="minorHAnsi"/>
      <w:i/>
      <w:iCs/>
      <w:sz w:val="20"/>
      <w:szCs w:val="20"/>
    </w:rPr>
  </w:style>
  <w:style w:type="character" w:styleId="Hyperlink">
    <w:name w:val="Hyperlink"/>
    <w:basedOn w:val="DefaultParagraphFont"/>
    <w:uiPriority w:val="99"/>
    <w:unhideWhenUsed/>
    <w:rsid w:val="00660262"/>
    <w:rPr>
      <w:color w:val="0563C1" w:themeColor="hyperlink"/>
      <w:u w:val="single"/>
    </w:rPr>
  </w:style>
  <w:style w:type="paragraph" w:styleId="TOC4">
    <w:name w:val="toc 4"/>
    <w:basedOn w:val="Normal"/>
    <w:next w:val="Normal"/>
    <w:uiPriority w:val="39"/>
    <w:unhideWhenUsed/>
    <w:rsid w:val="00660262"/>
    <w:pPr>
      <w:spacing w:before="0"/>
      <w:ind w:left="720"/>
    </w:pPr>
    <w:rPr>
      <w:rFonts w:asciiTheme="minorHAnsi" w:hAnsiTheme="minorHAnsi" w:cstheme="minorHAnsi"/>
      <w:sz w:val="18"/>
      <w:szCs w:val="18"/>
    </w:rPr>
  </w:style>
  <w:style w:type="paragraph" w:styleId="TOC5">
    <w:name w:val="toc 5"/>
    <w:basedOn w:val="Normal"/>
    <w:next w:val="Normal"/>
    <w:uiPriority w:val="39"/>
    <w:unhideWhenUsed/>
    <w:rsid w:val="00660262"/>
    <w:pPr>
      <w:spacing w:before="0"/>
      <w:ind w:left="960"/>
    </w:pPr>
    <w:rPr>
      <w:rFonts w:asciiTheme="minorHAnsi" w:hAnsiTheme="minorHAnsi" w:cstheme="minorHAnsi"/>
      <w:sz w:val="18"/>
      <w:szCs w:val="18"/>
    </w:rPr>
  </w:style>
  <w:style w:type="paragraph" w:styleId="TOC6">
    <w:name w:val="toc 6"/>
    <w:basedOn w:val="Normal"/>
    <w:next w:val="Normal"/>
    <w:uiPriority w:val="39"/>
    <w:unhideWhenUsed/>
    <w:rsid w:val="00660262"/>
    <w:pPr>
      <w:spacing w:before="0"/>
      <w:ind w:left="1200"/>
    </w:pPr>
    <w:rPr>
      <w:rFonts w:asciiTheme="minorHAnsi" w:hAnsiTheme="minorHAnsi" w:cstheme="minorHAnsi"/>
      <w:sz w:val="18"/>
      <w:szCs w:val="18"/>
    </w:rPr>
  </w:style>
  <w:style w:type="paragraph" w:styleId="TOC7">
    <w:name w:val="toc 7"/>
    <w:basedOn w:val="Normal"/>
    <w:next w:val="Normal"/>
    <w:uiPriority w:val="39"/>
    <w:unhideWhenUsed/>
    <w:rsid w:val="00660262"/>
    <w:pPr>
      <w:spacing w:before="0"/>
      <w:ind w:left="1440"/>
    </w:pPr>
    <w:rPr>
      <w:rFonts w:asciiTheme="minorHAnsi" w:hAnsiTheme="minorHAnsi" w:cstheme="minorHAnsi"/>
      <w:sz w:val="18"/>
      <w:szCs w:val="18"/>
    </w:rPr>
  </w:style>
  <w:style w:type="paragraph" w:styleId="TOC8">
    <w:name w:val="toc 8"/>
    <w:basedOn w:val="Normal"/>
    <w:next w:val="Normal"/>
    <w:uiPriority w:val="39"/>
    <w:unhideWhenUsed/>
    <w:rsid w:val="00660262"/>
    <w:pPr>
      <w:spacing w:before="0"/>
      <w:ind w:left="1680"/>
    </w:pPr>
    <w:rPr>
      <w:rFonts w:asciiTheme="minorHAnsi" w:hAnsiTheme="minorHAnsi" w:cstheme="minorHAnsi"/>
      <w:sz w:val="18"/>
      <w:szCs w:val="18"/>
    </w:rPr>
  </w:style>
  <w:style w:type="paragraph" w:styleId="TOC9">
    <w:name w:val="toc 9"/>
    <w:basedOn w:val="Normal"/>
    <w:next w:val="Normal"/>
    <w:uiPriority w:val="39"/>
    <w:unhideWhenUsed/>
    <w:rsid w:val="00660262"/>
    <w:pPr>
      <w:spacing w:before="0"/>
      <w:ind w:left="1920"/>
    </w:pPr>
    <w:rPr>
      <w:rFonts w:asciiTheme="minorHAnsi" w:hAnsiTheme="minorHAnsi" w:cstheme="minorHAnsi"/>
      <w:sz w:val="18"/>
      <w:szCs w:val="18"/>
    </w:rPr>
  </w:style>
  <w:style w:type="paragraph" w:styleId="Subtitle">
    <w:name w:val="Subtitle"/>
    <w:basedOn w:val="Normal"/>
    <w:next w:val="Normal"/>
    <w:link w:val="SubtitleChar"/>
    <w:uiPriority w:val="11"/>
    <w:qFormat/>
    <w:rsid w:val="00660262"/>
    <w:rPr>
      <w:rFonts w:asciiTheme="minorHAnsi" w:eastAsiaTheme="minorEastAsia" w:hAnsiTheme="minorHAnsi" w:cstheme="minorBidi"/>
      <w:color w:val="5A5A5A"/>
    </w:rPr>
  </w:style>
  <w:style w:type="character" w:customStyle="1" w:styleId="SubtitleChar">
    <w:name w:val="Subtitle Char"/>
    <w:basedOn w:val="DefaultParagraphFont"/>
    <w:link w:val="Subtitle"/>
    <w:uiPriority w:val="11"/>
    <w:rsid w:val="00660262"/>
    <w:rPr>
      <w:rFonts w:eastAsiaTheme="minorEastAsia"/>
      <w:color w:val="5A5A5A"/>
      <w:sz w:val="24"/>
      <w:szCs w:val="24"/>
    </w:rPr>
  </w:style>
  <w:style w:type="paragraph" w:styleId="Quote">
    <w:name w:val="Quote"/>
    <w:basedOn w:val="Normal"/>
    <w:next w:val="Normal"/>
    <w:link w:val="QuoteChar"/>
    <w:uiPriority w:val="29"/>
    <w:qFormat/>
    <w:rsid w:val="0066026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60262"/>
    <w:rPr>
      <w:rFonts w:ascii="Lato" w:eastAsia="Lato" w:hAnsi="Lato" w:cs="Lato"/>
      <w:i/>
      <w:iCs/>
      <w:color w:val="404040" w:themeColor="text1" w:themeTint="BF"/>
      <w:sz w:val="24"/>
      <w:szCs w:val="24"/>
    </w:rPr>
  </w:style>
  <w:style w:type="paragraph" w:styleId="IntenseQuote">
    <w:name w:val="Intense Quote"/>
    <w:basedOn w:val="Normal"/>
    <w:next w:val="Normal"/>
    <w:link w:val="IntenseQuoteChar"/>
    <w:uiPriority w:val="30"/>
    <w:qFormat/>
    <w:rsid w:val="00660262"/>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0262"/>
    <w:rPr>
      <w:rFonts w:ascii="Lato" w:eastAsia="Lato" w:hAnsi="Lato" w:cs="Lato"/>
      <w:i/>
      <w:iCs/>
      <w:color w:val="4472C4" w:themeColor="accent1"/>
      <w:sz w:val="24"/>
      <w:szCs w:val="24"/>
    </w:rPr>
  </w:style>
  <w:style w:type="paragraph" w:styleId="ListParagraph">
    <w:name w:val="List Paragraph"/>
    <w:basedOn w:val="Normal"/>
    <w:uiPriority w:val="34"/>
    <w:qFormat/>
    <w:rsid w:val="00660262"/>
  </w:style>
  <w:style w:type="paragraph" w:styleId="EndnoteText">
    <w:name w:val="endnote text"/>
    <w:basedOn w:val="Normal"/>
    <w:link w:val="EndnoteTextChar"/>
    <w:uiPriority w:val="99"/>
    <w:semiHidden/>
    <w:unhideWhenUsed/>
    <w:rsid w:val="00660262"/>
    <w:rPr>
      <w:sz w:val="20"/>
      <w:szCs w:val="20"/>
    </w:rPr>
  </w:style>
  <w:style w:type="character" w:customStyle="1" w:styleId="EndnoteTextChar">
    <w:name w:val="Endnote Text Char"/>
    <w:basedOn w:val="DefaultParagraphFont"/>
    <w:link w:val="EndnoteText"/>
    <w:uiPriority w:val="99"/>
    <w:semiHidden/>
    <w:rsid w:val="00660262"/>
    <w:rPr>
      <w:rFonts w:ascii="Lato" w:eastAsia="Lato" w:hAnsi="Lato" w:cs="Lato"/>
      <w:color w:val="000000" w:themeColor="text1"/>
      <w:sz w:val="20"/>
      <w:szCs w:val="20"/>
    </w:rPr>
  </w:style>
  <w:style w:type="paragraph" w:styleId="Footer">
    <w:name w:val="footer"/>
    <w:basedOn w:val="Normal"/>
    <w:link w:val="FooterChar"/>
    <w:uiPriority w:val="99"/>
    <w:unhideWhenUsed/>
    <w:rsid w:val="00660262"/>
    <w:pPr>
      <w:tabs>
        <w:tab w:val="center" w:pos="4680"/>
        <w:tab w:val="right" w:pos="9360"/>
      </w:tabs>
    </w:pPr>
  </w:style>
  <w:style w:type="character" w:customStyle="1" w:styleId="FooterChar">
    <w:name w:val="Footer Char"/>
    <w:basedOn w:val="DefaultParagraphFont"/>
    <w:link w:val="Footer"/>
    <w:uiPriority w:val="99"/>
    <w:rsid w:val="00660262"/>
    <w:rPr>
      <w:rFonts w:ascii="Lato" w:eastAsia="Lato" w:hAnsi="Lato" w:cs="Lato"/>
      <w:color w:val="000000" w:themeColor="text1"/>
      <w:sz w:val="24"/>
      <w:szCs w:val="24"/>
    </w:rPr>
  </w:style>
  <w:style w:type="paragraph" w:styleId="FootnoteText">
    <w:name w:val="footnote text"/>
    <w:basedOn w:val="Normal"/>
    <w:link w:val="FootnoteTextChar"/>
    <w:uiPriority w:val="99"/>
    <w:semiHidden/>
    <w:unhideWhenUsed/>
    <w:rsid w:val="00660262"/>
    <w:rPr>
      <w:sz w:val="20"/>
      <w:szCs w:val="20"/>
    </w:rPr>
  </w:style>
  <w:style w:type="character" w:customStyle="1" w:styleId="FootnoteTextChar">
    <w:name w:val="Footnote Text Char"/>
    <w:basedOn w:val="DefaultParagraphFont"/>
    <w:link w:val="FootnoteText"/>
    <w:uiPriority w:val="99"/>
    <w:semiHidden/>
    <w:rsid w:val="00660262"/>
    <w:rPr>
      <w:rFonts w:ascii="Lato" w:eastAsia="Lato" w:hAnsi="Lato" w:cs="Lato"/>
      <w:color w:val="000000" w:themeColor="text1"/>
      <w:sz w:val="20"/>
      <w:szCs w:val="20"/>
    </w:rPr>
  </w:style>
  <w:style w:type="paragraph" w:styleId="Header">
    <w:name w:val="header"/>
    <w:basedOn w:val="Normal"/>
    <w:link w:val="HeaderChar"/>
    <w:uiPriority w:val="99"/>
    <w:unhideWhenUsed/>
    <w:rsid w:val="00660262"/>
    <w:pPr>
      <w:tabs>
        <w:tab w:val="center" w:pos="4680"/>
        <w:tab w:val="right" w:pos="9360"/>
      </w:tabs>
    </w:pPr>
  </w:style>
  <w:style w:type="character" w:customStyle="1" w:styleId="HeaderChar">
    <w:name w:val="Header Char"/>
    <w:basedOn w:val="DefaultParagraphFont"/>
    <w:link w:val="Header"/>
    <w:uiPriority w:val="99"/>
    <w:rsid w:val="00660262"/>
    <w:rPr>
      <w:rFonts w:ascii="Lato" w:eastAsia="Lato" w:hAnsi="Lato" w:cs="Lato"/>
      <w:color w:val="000000" w:themeColor="text1"/>
      <w:sz w:val="24"/>
      <w:szCs w:val="24"/>
    </w:rPr>
  </w:style>
  <w:style w:type="table" w:styleId="TableGrid">
    <w:name w:val="Table Grid"/>
    <w:basedOn w:val="TableNormal"/>
    <w:uiPriority w:val="59"/>
    <w:rsid w:val="00660262"/>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0">
    <w:name w:val="Normal0"/>
    <w:basedOn w:val="Normal"/>
    <w:qFormat/>
    <w:rsid w:val="00660262"/>
    <w:rPr>
      <w:rFonts w:ascii="Calibri" w:eastAsia="Calibri" w:hAnsi="Calibri"/>
      <w:sz w:val="22"/>
      <w:szCs w:val="22"/>
    </w:rPr>
  </w:style>
  <w:style w:type="paragraph" w:styleId="CommentText">
    <w:name w:val="annotation text"/>
    <w:basedOn w:val="Normal"/>
    <w:link w:val="CommentTextChar"/>
    <w:uiPriority w:val="99"/>
    <w:unhideWhenUsed/>
    <w:rsid w:val="00660262"/>
    <w:rPr>
      <w:sz w:val="20"/>
      <w:szCs w:val="20"/>
    </w:rPr>
  </w:style>
  <w:style w:type="character" w:customStyle="1" w:styleId="CommentTextChar">
    <w:name w:val="Comment Text Char"/>
    <w:basedOn w:val="DefaultParagraphFont"/>
    <w:link w:val="CommentText"/>
    <w:uiPriority w:val="99"/>
    <w:rsid w:val="00660262"/>
    <w:rPr>
      <w:rFonts w:ascii="Lato" w:eastAsia="Lato" w:hAnsi="Lato" w:cs="Lato"/>
      <w:color w:val="000000" w:themeColor="text1"/>
      <w:sz w:val="20"/>
      <w:szCs w:val="20"/>
    </w:rPr>
  </w:style>
  <w:style w:type="character" w:styleId="CommentReference">
    <w:name w:val="annotation reference"/>
    <w:basedOn w:val="DefaultParagraphFont"/>
    <w:semiHidden/>
    <w:unhideWhenUsed/>
    <w:rsid w:val="00660262"/>
    <w:rPr>
      <w:sz w:val="16"/>
      <w:szCs w:val="16"/>
    </w:rPr>
  </w:style>
  <w:style w:type="paragraph" w:styleId="CommentSubject">
    <w:name w:val="annotation subject"/>
    <w:basedOn w:val="CommentText"/>
    <w:next w:val="CommentText"/>
    <w:link w:val="CommentSubjectChar"/>
    <w:uiPriority w:val="99"/>
    <w:semiHidden/>
    <w:unhideWhenUsed/>
    <w:rsid w:val="00660262"/>
    <w:rPr>
      <w:b/>
      <w:bCs/>
    </w:rPr>
  </w:style>
  <w:style w:type="character" w:customStyle="1" w:styleId="CommentSubjectChar">
    <w:name w:val="Comment Subject Char"/>
    <w:basedOn w:val="CommentTextChar"/>
    <w:link w:val="CommentSubject"/>
    <w:uiPriority w:val="99"/>
    <w:semiHidden/>
    <w:rsid w:val="00660262"/>
    <w:rPr>
      <w:rFonts w:ascii="Lato" w:eastAsia="Lato" w:hAnsi="Lato" w:cs="Lato"/>
      <w:b/>
      <w:bCs/>
      <w:color w:val="000000" w:themeColor="text1"/>
      <w:sz w:val="20"/>
      <w:szCs w:val="20"/>
    </w:rPr>
  </w:style>
  <w:style w:type="character" w:styleId="FollowedHyperlink">
    <w:name w:val="FollowedHyperlink"/>
    <w:basedOn w:val="DefaultParagraphFont"/>
    <w:uiPriority w:val="99"/>
    <w:semiHidden/>
    <w:unhideWhenUsed/>
    <w:rsid w:val="00660262"/>
    <w:rPr>
      <w:color w:val="954F72" w:themeColor="followedHyperlink"/>
      <w:u w:val="single"/>
    </w:rPr>
  </w:style>
  <w:style w:type="character" w:styleId="UnresolvedMention">
    <w:name w:val="Unresolved Mention"/>
    <w:basedOn w:val="DefaultParagraphFont"/>
    <w:uiPriority w:val="99"/>
    <w:semiHidden/>
    <w:unhideWhenUsed/>
    <w:rsid w:val="00660262"/>
    <w:rPr>
      <w:color w:val="605E5C"/>
      <w:shd w:val="clear" w:color="auto" w:fill="E1DFDD"/>
    </w:rPr>
  </w:style>
  <w:style w:type="character" w:customStyle="1" w:styleId="cf01">
    <w:name w:val="cf01"/>
    <w:basedOn w:val="DefaultParagraphFont"/>
    <w:uiPriority w:val="1"/>
    <w:rsid w:val="00660262"/>
    <w:rPr>
      <w:rFonts w:ascii="Segoe UI" w:eastAsia="Times New Roman" w:hAnsi="Segoe UI" w:cs="Segoe UI"/>
      <w:sz w:val="18"/>
      <w:szCs w:val="18"/>
    </w:rPr>
  </w:style>
  <w:style w:type="character" w:styleId="Mention">
    <w:name w:val="Mention"/>
    <w:basedOn w:val="DefaultParagraphFont"/>
    <w:uiPriority w:val="99"/>
    <w:unhideWhenUsed/>
    <w:rsid w:val="00660262"/>
    <w:rPr>
      <w:color w:val="2B579A"/>
      <w:shd w:val="clear" w:color="auto" w:fill="E1DFDD"/>
    </w:rPr>
  </w:style>
  <w:style w:type="paragraph" w:styleId="BalloonText">
    <w:name w:val="Balloon Text"/>
    <w:basedOn w:val="Normal"/>
    <w:link w:val="BalloonTextChar"/>
    <w:uiPriority w:val="99"/>
    <w:semiHidden/>
    <w:unhideWhenUsed/>
    <w:rsid w:val="00660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262"/>
    <w:rPr>
      <w:rFonts w:ascii="Segoe UI" w:eastAsia="Lato" w:hAnsi="Segoe UI" w:cs="Segoe UI"/>
      <w:color w:val="000000" w:themeColor="text1"/>
      <w:sz w:val="18"/>
      <w:szCs w:val="18"/>
    </w:rPr>
  </w:style>
  <w:style w:type="paragraph" w:styleId="Revision">
    <w:name w:val="Revision"/>
    <w:hidden/>
    <w:uiPriority w:val="99"/>
    <w:semiHidden/>
    <w:rsid w:val="008A2D6F"/>
    <w:pPr>
      <w:spacing w:after="0" w:line="240" w:lineRule="auto"/>
    </w:pPr>
    <w:rPr>
      <w:rFonts w:ascii="Avenir Next LT Pro Light" w:eastAsia="Lato" w:hAnsi="Avenir Next LT Pro Light" w:cs="Calibr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NRS@ed.gov"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800B9EC7E8E4D8C7894EA9190842E" ma:contentTypeVersion="22" ma:contentTypeDescription="Create a new document." ma:contentTypeScope="" ma:versionID="b7c2b5f7b3367f245561dafe4b956549">
  <xsd:schema xmlns:xsd="http://www.w3.org/2001/XMLSchema" xmlns:xs="http://www.w3.org/2001/XMLSchema" xmlns:p="http://schemas.microsoft.com/office/2006/metadata/properties" xmlns:ns1="http://schemas.microsoft.com/sharepoint/v3" xmlns:ns2="41d6d728-afb5-49e6-a79f-5f3b4d7fb77b" xmlns:ns3="dc8c0081-9e10-4b2e-a7e8-12dd3aa5a7c0" xmlns:ns4="2a2db8c4-56ab-4882-a5d0-0fe8165c6658" targetNamespace="http://schemas.microsoft.com/office/2006/metadata/properties" ma:root="true" ma:fieldsID="fd3d83d90c8fd12bc66e4cbcc6db4585" ns1:_="" ns2:_="" ns3:_="" ns4:_="">
    <xsd:import namespace="http://schemas.microsoft.com/sharepoint/v3"/>
    <xsd:import namespace="41d6d728-afb5-49e6-a79f-5f3b4d7fb77b"/>
    <xsd:import namespace="dc8c0081-9e10-4b2e-a7e8-12dd3aa5a7c0"/>
    <xsd:import namespace="2a2db8c4-56ab-4882-a5d0-0fe8165c66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8c0081-9e10-4b2e-a7e8-12dd3aa5a7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c8c0081-9e10-4b2e-a7e8-12dd3aa5a7c0">
      <Terms xmlns="http://schemas.microsoft.com/office/infopath/2007/PartnerControls"/>
    </lcf76f155ced4ddcb4097134ff3c332f>
    <_ip_UnifiedCompliancePolicyProperties xmlns="http://schemas.microsoft.com/sharepoint/v3" xsi:nil="true"/>
    <TaxCatchAll xmlns="2a2db8c4-56ab-4882-a5d0-0fe8165c66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48757-C7A4-413D-9B75-5435D7EEF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dc8c0081-9e10-4b2e-a7e8-12dd3aa5a7c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3AD19-E698-466D-94FC-A484846AE95A}">
  <ds:schemaRefs>
    <ds:schemaRef ds:uri="http://schemas.microsoft.com/office/2006/metadata/properties"/>
    <ds:schemaRef ds:uri="http://schemas.microsoft.com/office/infopath/2007/PartnerControls"/>
    <ds:schemaRef ds:uri="http://schemas.microsoft.com/sharepoint/v3"/>
    <ds:schemaRef ds:uri="dc8c0081-9e10-4b2e-a7e8-12dd3aa5a7c0"/>
    <ds:schemaRef ds:uri="2a2db8c4-56ab-4882-a5d0-0fe8165c6658"/>
  </ds:schemaRefs>
</ds:datastoreItem>
</file>

<file path=customXml/itemProps3.xml><?xml version="1.0" encoding="utf-8"?>
<ds:datastoreItem xmlns:ds="http://schemas.openxmlformats.org/officeDocument/2006/customXml" ds:itemID="{FB467288-002E-4509-98F4-3002AD719475}">
  <ds:schemaRefs>
    <ds:schemaRef ds:uri="http://schemas.openxmlformats.org/officeDocument/2006/bibliography"/>
  </ds:schemaRefs>
</ds:datastoreItem>
</file>

<file path=customXml/itemProps4.xml><?xml version="1.0" encoding="utf-8"?>
<ds:datastoreItem xmlns:ds="http://schemas.openxmlformats.org/officeDocument/2006/customXml" ds:itemID="{F27BE927-FB03-4838-B265-2391BCDC8C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33335</Words>
  <Characters>190011</Characters>
  <Application>Microsoft Office Word</Application>
  <DocSecurity>0</DocSecurity>
  <Lines>1583</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Trank</dc:creator>
  <cp:keywords/>
  <dc:description/>
  <cp:lastModifiedBy>Combs, Travis</cp:lastModifiedBy>
  <cp:revision>2</cp:revision>
  <dcterms:created xsi:type="dcterms:W3CDTF">2024-09-23T15:19:00Z</dcterms:created>
  <dcterms:modified xsi:type="dcterms:W3CDTF">2024-09-23T15:19:00Z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0x010100C15800B9EC7E8E4D8C7894EA9190842E</vt:lpwstr>
  </property>
</Properties>
</file>